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CF" w:rsidRPr="0024118E" w:rsidRDefault="00211072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Przed wakacjami – co warto wiedzieć?</w:t>
      </w:r>
    </w:p>
    <w:p w:rsidR="00C2398C" w:rsidRDefault="00FC228C" w:rsidP="002E38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87 proc. barów i restauracji na dworcach i stacjach benzynowych może cię spotkać przykra niespodzianka – tak wynika z kontroli Inspekcji Handlowej</w:t>
      </w:r>
      <w:r w:rsidR="000E5E37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B721C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26EA4">
        <w:rPr>
          <w:rFonts w:cs="Tahoma"/>
          <w:b/>
          <w:bCs/>
          <w:color w:val="000000" w:themeColor="text1"/>
          <w:sz w:val="22"/>
          <w:lang w:eastAsia="en-GB"/>
        </w:rPr>
        <w:t>Przypominamy, jakie masz wtedy prawa</w:t>
      </w:r>
      <w:r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="00B721C9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:rsidR="00986C37" w:rsidRPr="00B26EA4" w:rsidRDefault="00FC228C" w:rsidP="000C48EE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 w:rsidRPr="00FC039B">
        <w:rPr>
          <w:rFonts w:cs="Tahoma"/>
          <w:b/>
          <w:bCs/>
          <w:color w:val="000000" w:themeColor="text1"/>
          <w:sz w:val="22"/>
          <w:lang w:eastAsia="en-GB"/>
        </w:rPr>
        <w:t>Na jakie posiłki możesz liczyć w zagranicznym hotelu</w:t>
      </w:r>
      <w:r w:rsidR="00B26EA4" w:rsidRPr="00FC039B">
        <w:rPr>
          <w:rFonts w:cs="Tahoma"/>
          <w:b/>
          <w:bCs/>
          <w:color w:val="000000" w:themeColor="text1"/>
          <w:sz w:val="22"/>
          <w:lang w:eastAsia="en-GB"/>
        </w:rPr>
        <w:t>;</w:t>
      </w:r>
      <w:r w:rsidRPr="00FC039B">
        <w:rPr>
          <w:rFonts w:cs="Tahoma"/>
          <w:b/>
          <w:bCs/>
          <w:color w:val="000000" w:themeColor="text1"/>
          <w:sz w:val="22"/>
          <w:lang w:eastAsia="en-GB"/>
        </w:rPr>
        <w:t xml:space="preserve"> co zrobić, gdy </w:t>
      </w:r>
      <w:r w:rsidR="00B26EA4" w:rsidRPr="00FC039B">
        <w:rPr>
          <w:rFonts w:cs="Tahoma"/>
          <w:b/>
          <w:bCs/>
          <w:color w:val="000000" w:themeColor="text1"/>
          <w:sz w:val="22"/>
          <w:lang w:eastAsia="en-GB"/>
        </w:rPr>
        <w:t xml:space="preserve">ośrodek nie wywiąże się z oferty? – dowiedz się z poradnika na </w:t>
      </w:r>
      <w:r w:rsidR="00BE2C05" w:rsidRPr="00FC039B">
        <w:rPr>
          <w:rFonts w:cs="Tahoma"/>
          <w:b/>
          <w:bCs/>
          <w:color w:val="000000" w:themeColor="text1"/>
          <w:sz w:val="22"/>
          <w:lang w:eastAsia="en-GB"/>
        </w:rPr>
        <w:t>stron</w:t>
      </w:r>
      <w:r w:rsidR="00B26EA4" w:rsidRPr="00FC039B">
        <w:rPr>
          <w:rFonts w:cs="Tahoma"/>
          <w:b/>
          <w:bCs/>
          <w:color w:val="000000" w:themeColor="text1"/>
          <w:sz w:val="22"/>
          <w:lang w:eastAsia="en-GB"/>
        </w:rPr>
        <w:t>ie</w:t>
      </w:r>
      <w:r w:rsidR="00BE2C05" w:rsidRPr="00FC039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hyperlink r:id="rId7" w:history="1">
        <w:r w:rsidR="00BE2C05" w:rsidRPr="00FC039B">
          <w:rPr>
            <w:rStyle w:val="Hipercze"/>
            <w:rFonts w:cs="Tahoma"/>
            <w:b/>
            <w:bCs/>
            <w:sz w:val="22"/>
            <w:lang w:eastAsia="en-GB"/>
          </w:rPr>
          <w:t>Europejskiego Centrum Konsumenckiego</w:t>
        </w:r>
      </w:hyperlink>
      <w:bookmarkStart w:id="0" w:name="_GoBack"/>
      <w:bookmarkEnd w:id="0"/>
      <w:r w:rsidR="00BE2C05" w:rsidRPr="00FC039B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FC228C" w:rsidRPr="00FC228C" w:rsidRDefault="00FC228C" w:rsidP="00FC228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Już po raz dziesiąty </w:t>
      </w:r>
      <w:r w:rsidR="00B26EA4">
        <w:rPr>
          <w:rFonts w:cs="Tahoma"/>
          <w:b/>
          <w:bCs/>
          <w:color w:val="000000" w:themeColor="text1"/>
          <w:sz w:val="22"/>
          <w:lang w:eastAsia="en-GB"/>
        </w:rPr>
        <w:t xml:space="preserve">w ramach akcji „Przed wakacjami – co warto wiedzieć” </w:t>
      </w:r>
      <w:r>
        <w:rPr>
          <w:rFonts w:cs="Tahoma"/>
          <w:b/>
          <w:bCs/>
          <w:color w:val="000000" w:themeColor="text1"/>
          <w:sz w:val="22"/>
          <w:lang w:eastAsia="en-GB"/>
        </w:rPr>
        <w:t>przygotowaliśmy porady  na czas letniego wypoczynku.</w:t>
      </w:r>
    </w:p>
    <w:p w:rsidR="00795C1B" w:rsidRDefault="0010559C" w:rsidP="00986C37">
      <w:p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[Wa</w:t>
      </w:r>
      <w:r w:rsidR="00A65F20">
        <w:rPr>
          <w:b/>
          <w:sz w:val="22"/>
        </w:rPr>
        <w:t>rszawa,</w:t>
      </w:r>
      <w:r w:rsidR="006422DE">
        <w:rPr>
          <w:b/>
          <w:sz w:val="22"/>
        </w:rPr>
        <w:t xml:space="preserve"> </w:t>
      </w:r>
      <w:r w:rsidR="00B721C9">
        <w:rPr>
          <w:b/>
          <w:sz w:val="22"/>
        </w:rPr>
        <w:t>21</w:t>
      </w:r>
      <w:r w:rsidR="00986C37">
        <w:rPr>
          <w:b/>
          <w:sz w:val="22"/>
        </w:rPr>
        <w:t xml:space="preserve"> c</w:t>
      </w:r>
      <w:r w:rsidR="00B721C9">
        <w:rPr>
          <w:b/>
          <w:sz w:val="22"/>
        </w:rPr>
        <w:t>zerwca</w:t>
      </w:r>
      <w:r w:rsidR="007224B3">
        <w:rPr>
          <w:b/>
          <w:sz w:val="22"/>
        </w:rPr>
        <w:t xml:space="preserve"> </w:t>
      </w:r>
      <w:r w:rsidR="00986C37">
        <w:rPr>
          <w:b/>
          <w:sz w:val="22"/>
        </w:rPr>
        <w:t>2019</w:t>
      </w:r>
      <w:r>
        <w:rPr>
          <w:b/>
          <w:sz w:val="22"/>
        </w:rPr>
        <w:t xml:space="preserve"> r.]</w:t>
      </w:r>
      <w:r w:rsidR="001A6E5B">
        <w:rPr>
          <w:sz w:val="22"/>
        </w:rPr>
        <w:t xml:space="preserve"> </w:t>
      </w:r>
      <w:r w:rsidR="00CF14F3">
        <w:rPr>
          <w:sz w:val="22"/>
        </w:rPr>
        <w:t xml:space="preserve">Co roku </w:t>
      </w:r>
      <w:r w:rsidR="00795C1B">
        <w:rPr>
          <w:sz w:val="22"/>
        </w:rPr>
        <w:t>od 2010 r. UOKiK wspólnie z różnymi i</w:t>
      </w:r>
      <w:r w:rsidR="0056072F">
        <w:rPr>
          <w:sz w:val="22"/>
        </w:rPr>
        <w:t>nstytucjami przy</w:t>
      </w:r>
      <w:r w:rsidR="00BE641B">
        <w:rPr>
          <w:sz w:val="22"/>
        </w:rPr>
        <w:t>pomina, o czym warto pamiętać</w:t>
      </w:r>
      <w:r w:rsidR="006C7747">
        <w:rPr>
          <w:sz w:val="22"/>
        </w:rPr>
        <w:t xml:space="preserve"> pod</w:t>
      </w:r>
      <w:r w:rsidR="00795C1B">
        <w:rPr>
          <w:sz w:val="22"/>
        </w:rPr>
        <w:t xml:space="preserve">czas letnich wyjazdów. Tym razem </w:t>
      </w:r>
      <w:r w:rsidR="009A7A8F">
        <w:rPr>
          <w:sz w:val="22"/>
        </w:rPr>
        <w:t xml:space="preserve">do akcji „Przed wakacjami – co warto wiedzieć?” </w:t>
      </w:r>
      <w:r w:rsidR="00795C1B">
        <w:rPr>
          <w:sz w:val="22"/>
        </w:rPr>
        <w:t>zaprosiliśmy Wojewódzkie Inspektoraty Inspekcji Handlowej oraz Europejskie Centrum Konsumenckie. Wspólnie chcemy zwrócić uwagę na to, gdzie jadamy i mieszkamy podczas wakacji, czyli na gastronomi</w:t>
      </w:r>
      <w:r w:rsidR="009A7A8F">
        <w:rPr>
          <w:sz w:val="22"/>
        </w:rPr>
        <w:t>ę</w:t>
      </w:r>
      <w:r w:rsidR="00795C1B">
        <w:rPr>
          <w:sz w:val="22"/>
        </w:rPr>
        <w:t xml:space="preserve"> i hotele.</w:t>
      </w:r>
    </w:p>
    <w:p w:rsidR="009A7A8F" w:rsidRPr="00D47CCF" w:rsidRDefault="00CB7D42" w:rsidP="009A7A8F">
      <w:pPr>
        <w:spacing w:after="240" w:line="360" w:lineRule="auto"/>
        <w:jc w:val="both"/>
        <w:outlineLvl w:val="2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Mintaj zamiast dorsza, stary tłuszcz i brudne lodówki</w:t>
      </w:r>
    </w:p>
    <w:p w:rsidR="0073159E" w:rsidRDefault="00B721C9" w:rsidP="00986C37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Bar na stacji benzynowej czy dworcowa restauracja – </w:t>
      </w:r>
      <w:r w:rsidR="0073159E">
        <w:rPr>
          <w:sz w:val="22"/>
        </w:rPr>
        <w:t>często</w:t>
      </w:r>
      <w:r w:rsidR="009A7A8F">
        <w:rPr>
          <w:sz w:val="22"/>
        </w:rPr>
        <w:t xml:space="preserve"> podczas podróży zatrzymujemy się </w:t>
      </w:r>
      <w:r w:rsidR="0073159E">
        <w:rPr>
          <w:sz w:val="22"/>
        </w:rPr>
        <w:t xml:space="preserve">tu </w:t>
      </w:r>
      <w:r w:rsidR="009A7A8F">
        <w:rPr>
          <w:sz w:val="22"/>
        </w:rPr>
        <w:t xml:space="preserve">na obiad. W III kwartale 2018 r. Inspekcja Handlowa na zlecenie UOKiK skontrolowała 169 takich miejsc – oprócz różnego rodzaju </w:t>
      </w:r>
      <w:r w:rsidR="0073159E">
        <w:rPr>
          <w:sz w:val="22"/>
        </w:rPr>
        <w:t>jadłodajni</w:t>
      </w:r>
      <w:r w:rsidR="009A7A8F">
        <w:rPr>
          <w:sz w:val="22"/>
        </w:rPr>
        <w:t xml:space="preserve"> także kilka sklepów, gdzie można kupić</w:t>
      </w:r>
      <w:r w:rsidR="006509FF">
        <w:rPr>
          <w:sz w:val="22"/>
        </w:rPr>
        <w:t xml:space="preserve"> posiłek</w:t>
      </w:r>
      <w:r w:rsidR="0073159E">
        <w:rPr>
          <w:sz w:val="22"/>
        </w:rPr>
        <w:t>.</w:t>
      </w:r>
      <w:r w:rsidR="006D0A6E">
        <w:rPr>
          <w:sz w:val="22"/>
        </w:rPr>
        <w:t xml:space="preserve"> Aż w 87 proc. z nich wykryła nieprawidłowości: od złego oznakowania po oszukiwanie na rodzaju mięsa, ryby czy sera. W sumie inspektorzy sprawdzili 4975 partii produktów</w:t>
      </w:r>
      <w:r w:rsidR="006C7747">
        <w:rPr>
          <w:sz w:val="22"/>
        </w:rPr>
        <w:t xml:space="preserve"> i zgłosili </w:t>
      </w:r>
      <w:r w:rsidR="006D0A6E">
        <w:rPr>
          <w:sz w:val="22"/>
        </w:rPr>
        <w:t xml:space="preserve">zastrzeżenia do 2180 z nich. </w:t>
      </w:r>
      <w:r w:rsidR="006C7747">
        <w:rPr>
          <w:sz w:val="22"/>
        </w:rPr>
        <w:t xml:space="preserve">Najwięcej nieprawidłowości (1991 zakwestionowanych partii) dotyczyło oznakowania. </w:t>
      </w:r>
      <w:r w:rsidR="006D0A6E">
        <w:rPr>
          <w:sz w:val="22"/>
        </w:rPr>
        <w:t xml:space="preserve">240 próbek trafiło do laboratoriów </w:t>
      </w:r>
      <w:r w:rsidR="00F631FE">
        <w:rPr>
          <w:sz w:val="22"/>
        </w:rPr>
        <w:t>UOKiK, gdzie eksperci zbadali</w:t>
      </w:r>
      <w:r w:rsidR="0056072F">
        <w:rPr>
          <w:sz w:val="22"/>
        </w:rPr>
        <w:t xml:space="preserve"> m.in.</w:t>
      </w:r>
      <w:r w:rsidR="00F631FE">
        <w:rPr>
          <w:sz w:val="22"/>
        </w:rPr>
        <w:t xml:space="preserve">, z jakich składników </w:t>
      </w:r>
      <w:r w:rsidR="0056072F">
        <w:rPr>
          <w:sz w:val="22"/>
        </w:rPr>
        <w:t>kucharze przyrządzili</w:t>
      </w:r>
      <w:r w:rsidR="00F631FE">
        <w:rPr>
          <w:sz w:val="22"/>
        </w:rPr>
        <w:t xml:space="preserve"> </w:t>
      </w:r>
      <w:r w:rsidR="00BE641B">
        <w:rPr>
          <w:sz w:val="22"/>
        </w:rPr>
        <w:t>potrawy</w:t>
      </w:r>
      <w:r w:rsidR="0056072F">
        <w:rPr>
          <w:sz w:val="22"/>
        </w:rPr>
        <w:t xml:space="preserve"> i czy zgadzało się to z deklaracjami np. w menu. </w:t>
      </w:r>
      <w:r w:rsidR="00A1008C">
        <w:rPr>
          <w:sz w:val="22"/>
        </w:rPr>
        <w:t>Zakwestionowali</w:t>
      </w:r>
      <w:r w:rsidR="0056072F">
        <w:rPr>
          <w:sz w:val="22"/>
        </w:rPr>
        <w:t xml:space="preserve"> 17 proc. </w:t>
      </w:r>
      <w:r w:rsidR="00BE641B">
        <w:rPr>
          <w:sz w:val="22"/>
        </w:rPr>
        <w:t>dań</w:t>
      </w:r>
      <w:r w:rsidR="00FE3A92">
        <w:rPr>
          <w:sz w:val="22"/>
        </w:rPr>
        <w:t xml:space="preserve"> lub napojów</w:t>
      </w:r>
      <w:r w:rsidR="0056072F">
        <w:rPr>
          <w:sz w:val="22"/>
        </w:rPr>
        <w:t xml:space="preserve">. </w:t>
      </w:r>
      <w:r w:rsidR="00F70904">
        <w:rPr>
          <w:sz w:val="22"/>
        </w:rPr>
        <w:t>Łącznie nierzetelną obsługę konsumentów Inspekcja Handlowa stwierdziła w co trzeciej skontrolowanej placówce.</w:t>
      </w:r>
    </w:p>
    <w:p w:rsidR="00B41502" w:rsidRPr="000505C8" w:rsidRDefault="00A1008C" w:rsidP="00986C37">
      <w:pPr>
        <w:spacing w:after="240" w:line="360" w:lineRule="auto"/>
        <w:jc w:val="both"/>
        <w:rPr>
          <w:sz w:val="22"/>
          <w:u w:val="single"/>
        </w:rPr>
      </w:pPr>
      <w:r w:rsidRPr="000505C8">
        <w:rPr>
          <w:sz w:val="22"/>
          <w:u w:val="single"/>
        </w:rPr>
        <w:t>Najważniejsze nieprawidłowości wykryte podczas kontroli:</w:t>
      </w:r>
    </w:p>
    <w:p w:rsidR="00A1008C" w:rsidRDefault="00A1008C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0505C8">
        <w:rPr>
          <w:b/>
          <w:sz w:val="22"/>
        </w:rPr>
        <w:lastRenderedPageBreak/>
        <w:t>zamiana składników</w:t>
      </w:r>
      <w:r>
        <w:rPr>
          <w:sz w:val="22"/>
        </w:rPr>
        <w:t xml:space="preserve">, np. </w:t>
      </w:r>
      <w:r w:rsidR="000505C8">
        <w:rPr>
          <w:sz w:val="22"/>
        </w:rPr>
        <w:t xml:space="preserve">w grillowanych kotletach „z jagnięciny” </w:t>
      </w:r>
      <w:r w:rsidR="00331F0A">
        <w:rPr>
          <w:sz w:val="22"/>
        </w:rPr>
        <w:t xml:space="preserve">zamiast jagnięciny </w:t>
      </w:r>
      <w:r w:rsidR="000505C8">
        <w:rPr>
          <w:sz w:val="22"/>
        </w:rPr>
        <w:t>były wołowina, wieprzowina i drób; dorsz został zastąpiony mintajem</w:t>
      </w:r>
      <w:r w:rsidR="00331F0A">
        <w:rPr>
          <w:sz w:val="22"/>
        </w:rPr>
        <w:t>;</w:t>
      </w:r>
      <w:r w:rsidR="000505C8">
        <w:rPr>
          <w:sz w:val="22"/>
        </w:rPr>
        <w:t xml:space="preserve"> oscypek okazał się </w:t>
      </w:r>
      <w:r w:rsidR="00331F0A">
        <w:rPr>
          <w:sz w:val="22"/>
        </w:rPr>
        <w:t xml:space="preserve">tańszą </w:t>
      </w:r>
      <w:r w:rsidR="000505C8">
        <w:rPr>
          <w:sz w:val="22"/>
        </w:rPr>
        <w:t>roladą ustrzycką,</w:t>
      </w:r>
      <w:r w:rsidR="003C2ABF">
        <w:rPr>
          <w:sz w:val="22"/>
        </w:rPr>
        <w:t xml:space="preserve"> </w:t>
      </w:r>
    </w:p>
    <w:p w:rsidR="000505C8" w:rsidRDefault="000505C8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wydawanie za małych porcji</w:t>
      </w:r>
      <w:r w:rsidRPr="000505C8">
        <w:rPr>
          <w:sz w:val="22"/>
        </w:rPr>
        <w:t>, np</w:t>
      </w:r>
      <w:r w:rsidRPr="007C4091">
        <w:rPr>
          <w:sz w:val="22"/>
        </w:rPr>
        <w:t xml:space="preserve">. </w:t>
      </w:r>
      <w:r w:rsidR="007C4091" w:rsidRPr="007C4091">
        <w:rPr>
          <w:sz w:val="22"/>
        </w:rPr>
        <w:t>niedowa</w:t>
      </w:r>
      <w:r w:rsidR="007C4091">
        <w:rPr>
          <w:sz w:val="22"/>
        </w:rPr>
        <w:t>ga dwóch porcji smażonej soli wyniosła w sumie 140 gram</w:t>
      </w:r>
      <w:r w:rsidR="00331F0A">
        <w:rPr>
          <w:sz w:val="22"/>
        </w:rPr>
        <w:t>ów</w:t>
      </w:r>
      <w:r w:rsidR="007C4091">
        <w:rPr>
          <w:sz w:val="22"/>
        </w:rPr>
        <w:t xml:space="preserve"> – zamawiający zamiast deklarowanych 970 g dostali 830 g; zdarzało się też, że sprzedawcy ważyli ryby razem z tackami,</w:t>
      </w:r>
    </w:p>
    <w:p w:rsidR="006C7747" w:rsidRDefault="006B232F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wprowadzanie klientów w błąd</w:t>
      </w:r>
      <w:r w:rsidR="006C7747" w:rsidRPr="006C7747">
        <w:rPr>
          <w:sz w:val="22"/>
        </w:rPr>
        <w:t xml:space="preserve">, np. </w:t>
      </w:r>
      <w:r w:rsidR="006C7747">
        <w:rPr>
          <w:sz w:val="22"/>
        </w:rPr>
        <w:t>zamieszczenie na opakowaniu „klopsików podkarpackich” znaku „Babcine Receptury”</w:t>
      </w:r>
      <w:r>
        <w:rPr>
          <w:sz w:val="22"/>
        </w:rPr>
        <w:t xml:space="preserve"> sugerującego, że są one zrobione z prostych składników, podczas gdy zawierały błonnik grochowy i aromaty; napis „Nasze jadło ze świeżych produktów przyrządzamy, na strawę ok. 30 min. czekamy”, podczas gdy kucharz używał produktów głęboko mrożonych</w:t>
      </w:r>
      <w:r w:rsidR="00FC039B">
        <w:rPr>
          <w:sz w:val="22"/>
        </w:rPr>
        <w:t xml:space="preserve">; </w:t>
      </w:r>
      <w:r w:rsidR="00F70904">
        <w:rPr>
          <w:sz w:val="22"/>
        </w:rPr>
        <w:t>wskazywanie w menu nazw produktów o ustalonej renomie (z chronionymi oznaczeniami i ekologicznych)</w:t>
      </w:r>
      <w:r w:rsidR="00FC039B">
        <w:rPr>
          <w:sz w:val="22"/>
        </w:rPr>
        <w:t>,</w:t>
      </w:r>
      <w:r w:rsidR="00F70904">
        <w:rPr>
          <w:sz w:val="22"/>
        </w:rPr>
        <w:t xml:space="preserve"> podczas gdy w rzeczywistości </w:t>
      </w:r>
      <w:r w:rsidR="00FC039B">
        <w:rPr>
          <w:sz w:val="22"/>
        </w:rPr>
        <w:t xml:space="preserve">lokal </w:t>
      </w:r>
      <w:r w:rsidR="00F70904">
        <w:rPr>
          <w:sz w:val="22"/>
        </w:rPr>
        <w:t>oferowa</w:t>
      </w:r>
      <w:r w:rsidR="00FC039B">
        <w:rPr>
          <w:sz w:val="22"/>
        </w:rPr>
        <w:t>ł</w:t>
      </w:r>
      <w:r w:rsidR="00F70904">
        <w:rPr>
          <w:sz w:val="22"/>
        </w:rPr>
        <w:t xml:space="preserve"> produkty konwencjonalne np. tańszy ser solankowy zamiast sera Feta,</w:t>
      </w:r>
    </w:p>
    <w:p w:rsidR="006C7747" w:rsidRPr="006C7747" w:rsidRDefault="006C7747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6C7747">
        <w:rPr>
          <w:b/>
          <w:sz w:val="22"/>
        </w:rPr>
        <w:t>brak wykazu składników oraz informacji o alergenach</w:t>
      </w:r>
      <w:r w:rsidR="006B232F" w:rsidRPr="006B232F">
        <w:rPr>
          <w:sz w:val="22"/>
        </w:rPr>
        <w:t>,</w:t>
      </w:r>
    </w:p>
    <w:p w:rsidR="006B232F" w:rsidRDefault="006B232F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 w:rsidRPr="006B232F">
        <w:rPr>
          <w:b/>
          <w:sz w:val="22"/>
        </w:rPr>
        <w:t>przeterminowane produkty</w:t>
      </w:r>
      <w:r>
        <w:rPr>
          <w:sz w:val="22"/>
        </w:rPr>
        <w:t>, np. przyprawy, sery, sosy, napoje</w:t>
      </w:r>
      <w:r w:rsidR="00D02370">
        <w:rPr>
          <w:sz w:val="22"/>
        </w:rPr>
        <w:t>; ponadto zdarzało się, że do smażenia był używany stary, zanieczyszczony tłuszcz,</w:t>
      </w:r>
    </w:p>
    <w:p w:rsidR="00D02370" w:rsidRDefault="006B232F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nieprawidłowe przechowywanie żywności i warunki sanitarne</w:t>
      </w:r>
      <w:r w:rsidRPr="006B232F">
        <w:rPr>
          <w:sz w:val="22"/>
        </w:rPr>
        <w:t>, np.</w:t>
      </w:r>
      <w:r>
        <w:rPr>
          <w:sz w:val="22"/>
        </w:rPr>
        <w:t xml:space="preserve"> brudne, nadmiernie oszronione </w:t>
      </w:r>
      <w:r w:rsidR="00D02370">
        <w:rPr>
          <w:sz w:val="22"/>
        </w:rPr>
        <w:t xml:space="preserve">czy niesprawne </w:t>
      </w:r>
      <w:r>
        <w:rPr>
          <w:sz w:val="22"/>
        </w:rPr>
        <w:t>lodówki</w:t>
      </w:r>
      <w:r w:rsidR="00D02370">
        <w:rPr>
          <w:sz w:val="22"/>
        </w:rPr>
        <w:t>,</w:t>
      </w:r>
    </w:p>
    <w:p w:rsidR="006C7747" w:rsidRDefault="00D02370" w:rsidP="00A1008C">
      <w:pPr>
        <w:pStyle w:val="Akapitzlist"/>
        <w:numPr>
          <w:ilvl w:val="0"/>
          <w:numId w:val="7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niepełne informacje o cenach</w:t>
      </w:r>
      <w:r w:rsidRPr="00D02370">
        <w:rPr>
          <w:sz w:val="22"/>
        </w:rPr>
        <w:t>.</w:t>
      </w:r>
    </w:p>
    <w:p w:rsidR="00647331" w:rsidRDefault="00647331" w:rsidP="00986C37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>Za fałszowanie składu potraw i wprowadzanie konsumentów w błąd grożą kary pieniężne – do 1 tys. zł do 10 proc. przychodu z poprzedniego roku. Efekt kontroli to 93 takie kary</w:t>
      </w:r>
      <w:r w:rsidR="00331F0A">
        <w:rPr>
          <w:sz w:val="22"/>
        </w:rPr>
        <w:t xml:space="preserve"> na łączna kwotę 101 tys. zł</w:t>
      </w:r>
      <w:r>
        <w:rPr>
          <w:sz w:val="22"/>
        </w:rPr>
        <w:t xml:space="preserve">. Ponadto sprzedawcy dostali 53 mandaty </w:t>
      </w:r>
      <w:r w:rsidR="00DD33F3">
        <w:rPr>
          <w:sz w:val="22"/>
        </w:rPr>
        <w:t xml:space="preserve">karne </w:t>
      </w:r>
      <w:r w:rsidR="00331F0A">
        <w:rPr>
          <w:sz w:val="22"/>
        </w:rPr>
        <w:t xml:space="preserve">(w sumie prawie 11 tys. zł) </w:t>
      </w:r>
      <w:r>
        <w:rPr>
          <w:sz w:val="22"/>
        </w:rPr>
        <w:t xml:space="preserve">za wykroczenia, np. niewłaściwe warunki sanitarne czy wagi bez legalizacji. Inspektorzy skierowali także do sądu 10 wniosków o ukaranie za stosowanie przeterminowanych surowców i oszustwa. O nieprawidłowościach zawiadomili również odpowiednie organy, np. nadzór sanitarny. </w:t>
      </w:r>
    </w:p>
    <w:p w:rsidR="00B73F22" w:rsidRPr="00891DA2" w:rsidRDefault="00891DA2" w:rsidP="00986C37">
      <w:pPr>
        <w:spacing w:after="100" w:afterAutospacing="1" w:line="372" w:lineRule="auto"/>
        <w:jc w:val="both"/>
        <w:rPr>
          <w:rFonts w:cs="Tahoma"/>
          <w:b/>
          <w:bCs/>
          <w:sz w:val="22"/>
          <w:lang w:eastAsia="pl-PL"/>
        </w:rPr>
      </w:pPr>
      <w:r w:rsidRPr="00891DA2">
        <w:rPr>
          <w:rFonts w:cs="Tahoma"/>
          <w:b/>
          <w:bCs/>
          <w:sz w:val="22"/>
          <w:lang w:eastAsia="pl-PL"/>
        </w:rPr>
        <w:t>Jesz w barze lub restauracji? Poznaj swoje prawa:</w:t>
      </w:r>
    </w:p>
    <w:p w:rsidR="00891DA2" w:rsidRDefault="00235A61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235A61">
        <w:rPr>
          <w:b/>
          <w:sz w:val="22"/>
        </w:rPr>
        <w:lastRenderedPageBreak/>
        <w:t xml:space="preserve">Pełna informacja o potrawie. </w:t>
      </w:r>
      <w:r w:rsidR="00891DA2">
        <w:rPr>
          <w:sz w:val="22"/>
        </w:rPr>
        <w:t xml:space="preserve">Przed zamówieniem posiłku powinieneś wiedzieć, co zamawiasz. W </w:t>
      </w:r>
      <w:r>
        <w:rPr>
          <w:sz w:val="22"/>
        </w:rPr>
        <w:t>menu lub cenniku musi być podany pełny skład dania, w tym składniki alergenne. Nie może być tak, że musisz o te informacje dopytywać kelnera.</w:t>
      </w:r>
    </w:p>
    <w:p w:rsidR="008239CA" w:rsidRDefault="00235A61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235A61">
        <w:rPr>
          <w:b/>
          <w:sz w:val="22"/>
        </w:rPr>
        <w:t>Pełna informacja o cenie.</w:t>
      </w:r>
      <w:r>
        <w:rPr>
          <w:sz w:val="22"/>
        </w:rPr>
        <w:t xml:space="preserve"> Jeśli w karcie podana jest cena np. za 100 g mięsa lub ryby, to przed złożeniem zamówienia powinieneś dostać </w:t>
      </w:r>
      <w:r w:rsidR="008239CA">
        <w:rPr>
          <w:sz w:val="22"/>
        </w:rPr>
        <w:t xml:space="preserve">choćby przybliżoną </w:t>
      </w:r>
      <w:r>
        <w:rPr>
          <w:sz w:val="22"/>
        </w:rPr>
        <w:t xml:space="preserve">informację o ich wielkości. Pamiętaj, </w:t>
      </w:r>
      <w:r w:rsidR="008239CA">
        <w:rPr>
          <w:sz w:val="22"/>
        </w:rPr>
        <w:t>danie ma być ważone już po usmażeniu lub upieczeniu, a nie przed obróbką</w:t>
      </w:r>
      <w:r w:rsidR="00331F0A">
        <w:rPr>
          <w:sz w:val="22"/>
        </w:rPr>
        <w:t>, kiedy jest cięższe</w:t>
      </w:r>
      <w:r w:rsidR="008239CA">
        <w:rPr>
          <w:sz w:val="22"/>
        </w:rPr>
        <w:t>. Jeśli restauracja pobiera obowiązkową opłatę za obsługę, to musi o tym jasno i czytelnie informować w widocznym miejscu</w:t>
      </w:r>
      <w:r w:rsidR="00331F0A">
        <w:rPr>
          <w:sz w:val="22"/>
        </w:rPr>
        <w:t>, np. w menu</w:t>
      </w:r>
      <w:r w:rsidR="008239CA">
        <w:rPr>
          <w:sz w:val="22"/>
        </w:rPr>
        <w:t>.</w:t>
      </w:r>
    </w:p>
    <w:p w:rsidR="00AA21E6" w:rsidRDefault="008239CA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 w:rsidRPr="008239CA">
        <w:rPr>
          <w:b/>
          <w:sz w:val="22"/>
        </w:rPr>
        <w:t>Reklamacja.</w:t>
      </w:r>
      <w:r>
        <w:rPr>
          <w:sz w:val="22"/>
        </w:rPr>
        <w:t xml:space="preserve"> Gdy masz zastrzeżenia do potrawy, np. zamawiałeś pizzę z szynką, a dostałeś z pieczarkami albo zupa jest zimna</w:t>
      </w:r>
      <w:r w:rsidR="00D0513F">
        <w:rPr>
          <w:sz w:val="22"/>
        </w:rPr>
        <w:t>,</w:t>
      </w:r>
      <w:r>
        <w:rPr>
          <w:sz w:val="22"/>
        </w:rPr>
        <w:t xml:space="preserve"> ryba przypalona, </w:t>
      </w:r>
      <w:r w:rsidR="00D0513F">
        <w:rPr>
          <w:sz w:val="22"/>
        </w:rPr>
        <w:t xml:space="preserve">a kelner kazał ci czekać półtorej godziny, </w:t>
      </w:r>
      <w:r>
        <w:rPr>
          <w:sz w:val="22"/>
        </w:rPr>
        <w:t>jak najszybciej zgłoś to obsłudze</w:t>
      </w:r>
      <w:r w:rsidR="00DD33F3">
        <w:rPr>
          <w:sz w:val="22"/>
        </w:rPr>
        <w:t>, a najlepiej właścicielowi lub kierownikowi placówki</w:t>
      </w:r>
      <w:r w:rsidR="00FC039B">
        <w:rPr>
          <w:sz w:val="22"/>
        </w:rPr>
        <w:t>,</w:t>
      </w:r>
      <w:r w:rsidR="00DD33F3">
        <w:rPr>
          <w:sz w:val="22"/>
        </w:rPr>
        <w:t xml:space="preserve"> jeśli są na miejscu</w:t>
      </w:r>
      <w:r>
        <w:rPr>
          <w:sz w:val="22"/>
        </w:rPr>
        <w:t>. W ramach reklamacji możesz domagać się np. obniżenia ceny</w:t>
      </w:r>
      <w:r w:rsidR="00D0513F">
        <w:rPr>
          <w:sz w:val="22"/>
        </w:rPr>
        <w:t xml:space="preserve"> lub</w:t>
      </w:r>
      <w:r>
        <w:rPr>
          <w:sz w:val="22"/>
        </w:rPr>
        <w:t xml:space="preserve"> wymiany dania</w:t>
      </w:r>
      <w:r w:rsidR="00D0513F">
        <w:rPr>
          <w:sz w:val="22"/>
        </w:rPr>
        <w:t>. Pamiętaj jednak, że nie dotyczy to subiektywnych wrażeń, czyli że nie możesz złożyć reklamacji tylko dlatego, że obiad ci nie smakował.</w:t>
      </w:r>
    </w:p>
    <w:p w:rsidR="00AA21E6" w:rsidRDefault="00AA21E6" w:rsidP="00891DA2">
      <w:pPr>
        <w:pStyle w:val="Akapitzlist"/>
        <w:numPr>
          <w:ilvl w:val="0"/>
          <w:numId w:val="8"/>
        </w:numPr>
        <w:spacing w:after="100" w:afterAutospacing="1" w:line="372" w:lineRule="auto"/>
        <w:jc w:val="both"/>
        <w:rPr>
          <w:sz w:val="22"/>
        </w:rPr>
      </w:pPr>
      <w:r>
        <w:rPr>
          <w:b/>
          <w:sz w:val="22"/>
        </w:rPr>
        <w:t xml:space="preserve">Zgłoszenie do Inspekcji Handlowej. </w:t>
      </w:r>
      <w:r>
        <w:rPr>
          <w:sz w:val="22"/>
        </w:rPr>
        <w:t xml:space="preserve">Jeśli masz zastrzeżenia związane z jakością usług gastronomicznych, zawiadom odpowiedni </w:t>
      </w:r>
      <w:hyperlink r:id="rId8" w:anchor="faq595" w:history="1">
        <w:r w:rsidRPr="00D0513F">
          <w:rPr>
            <w:rStyle w:val="Hipercze"/>
            <w:sz w:val="22"/>
          </w:rPr>
          <w:t>Wojewódzki Inspektorat Inspekcji Handlowej</w:t>
        </w:r>
      </w:hyperlink>
      <w:r>
        <w:rPr>
          <w:sz w:val="22"/>
        </w:rPr>
        <w:t>. Napisz, jakiej restauracji dotyczą, dołącz dokumentację</w:t>
      </w:r>
      <w:r w:rsidR="00CA2769">
        <w:rPr>
          <w:sz w:val="22"/>
        </w:rPr>
        <w:t>. Przykładowo jeśli w cenniku była informacja</w:t>
      </w:r>
      <w:r>
        <w:rPr>
          <w:sz w:val="22"/>
        </w:rPr>
        <w:t xml:space="preserve">, </w:t>
      </w:r>
      <w:r w:rsidR="00CA2769">
        <w:rPr>
          <w:sz w:val="22"/>
        </w:rPr>
        <w:t xml:space="preserve">że dorsz kosztuje 10 zł bez wskazania, że to cena za 100 g, a zapłaciłeś 35 zł, wyślij zdjęcie cennika i </w:t>
      </w:r>
      <w:r>
        <w:rPr>
          <w:sz w:val="22"/>
        </w:rPr>
        <w:t>paragon</w:t>
      </w:r>
      <w:r w:rsidR="00CA2769">
        <w:rPr>
          <w:sz w:val="22"/>
        </w:rPr>
        <w:t>u</w:t>
      </w:r>
      <w:r>
        <w:rPr>
          <w:sz w:val="22"/>
        </w:rPr>
        <w:t>.</w:t>
      </w:r>
      <w:r w:rsidR="00CA2769">
        <w:rPr>
          <w:sz w:val="22"/>
        </w:rPr>
        <w:t xml:space="preserve"> IH uwzględnia skargi przy planowaniu kontroli. Jeśli restauracja odrzuciła twoją reklamację, możesz także złożyć wniosek do inspekcji o </w:t>
      </w:r>
      <w:hyperlink r:id="rId9" w:history="1">
        <w:r w:rsidR="00CA2769" w:rsidRPr="00CA2769">
          <w:rPr>
            <w:rStyle w:val="Hipercze"/>
            <w:sz w:val="22"/>
          </w:rPr>
          <w:t>polubowne rozstrzygnięcie sporu</w:t>
        </w:r>
      </w:hyperlink>
      <w:r w:rsidR="00CA2769">
        <w:rPr>
          <w:sz w:val="22"/>
        </w:rPr>
        <w:t xml:space="preserve">. </w:t>
      </w:r>
    </w:p>
    <w:p w:rsidR="00FC039B" w:rsidRDefault="00D0513F" w:rsidP="00FC039B">
      <w:pPr>
        <w:spacing w:after="100" w:afterAutospacing="1" w:line="372" w:lineRule="auto"/>
        <w:jc w:val="both"/>
        <w:rPr>
          <w:sz w:val="22"/>
        </w:rPr>
      </w:pPr>
      <w:r>
        <w:rPr>
          <w:sz w:val="22"/>
        </w:rPr>
        <w:t xml:space="preserve">Szczegółów kontroli szukaj na stronach </w:t>
      </w:r>
      <w:hyperlink r:id="rId10" w:anchor="faq595" w:history="1">
        <w:r w:rsidRPr="00D0513F">
          <w:rPr>
            <w:rStyle w:val="Hipercze"/>
            <w:sz w:val="22"/>
          </w:rPr>
          <w:t>Wojewódzkich Inspektoratów Inspekcji Handlowej</w:t>
        </w:r>
      </w:hyperlink>
      <w:r>
        <w:rPr>
          <w:sz w:val="22"/>
        </w:rPr>
        <w:t xml:space="preserve">. </w:t>
      </w:r>
    </w:p>
    <w:p w:rsidR="00FC039B" w:rsidRPr="005412DB" w:rsidRDefault="00FC039B" w:rsidP="00FC039B">
      <w:pPr>
        <w:spacing w:after="100" w:afterAutospacing="1" w:line="372" w:lineRule="auto"/>
        <w:jc w:val="both"/>
        <w:rPr>
          <w:rFonts w:cs="Tahoma"/>
          <w:b/>
          <w:bCs/>
          <w:sz w:val="22"/>
          <w:lang w:eastAsia="pl-PL"/>
        </w:rPr>
      </w:pPr>
      <w:r w:rsidRPr="005412DB">
        <w:rPr>
          <w:rFonts w:cs="Tahoma"/>
          <w:b/>
          <w:bCs/>
          <w:sz w:val="22"/>
          <w:lang w:eastAsia="pl-PL"/>
        </w:rPr>
        <w:t>Posiłki w hotelu</w:t>
      </w:r>
    </w:p>
    <w:p w:rsidR="00FC039B" w:rsidRPr="005412DB" w:rsidRDefault="00FC039B" w:rsidP="00FC039B">
      <w:pPr>
        <w:spacing w:after="240" w:line="360" w:lineRule="auto"/>
        <w:jc w:val="both"/>
        <w:rPr>
          <w:sz w:val="22"/>
        </w:rPr>
      </w:pPr>
      <w:r w:rsidRPr="005412DB">
        <w:rPr>
          <w:sz w:val="22"/>
        </w:rPr>
        <w:t xml:space="preserve">Przed zawarciem umowy z organizatorem turystycznym, hotelem lub pośrednikiem, warto upewnić się, co dokładnie znajduje się w ofercie danego obiektu. Zwróć uwagę, w jakich godzinach będą wydawane posiłki, ile restauracji zapewnia hotel, gdzie są usytuowane. Przedsiębiorca powinien wywiązać się ze wszystkich elementów umowy.  </w:t>
      </w:r>
    </w:p>
    <w:p w:rsidR="00FC039B" w:rsidRDefault="00FC039B" w:rsidP="00FC039B">
      <w:pPr>
        <w:spacing w:after="240" w:line="360" w:lineRule="auto"/>
        <w:jc w:val="both"/>
        <w:rPr>
          <w:sz w:val="22"/>
        </w:rPr>
      </w:pPr>
      <w:r w:rsidRPr="005412DB">
        <w:rPr>
          <w:sz w:val="22"/>
        </w:rPr>
        <w:lastRenderedPageBreak/>
        <w:t>Szczególną uwagę należy poświęcić wyjazdom „</w:t>
      </w:r>
      <w:proofErr w:type="spellStart"/>
      <w:r w:rsidRPr="005412DB">
        <w:rPr>
          <w:sz w:val="22"/>
        </w:rPr>
        <w:t>all</w:t>
      </w:r>
      <w:proofErr w:type="spellEnd"/>
      <w:r w:rsidRPr="005412DB">
        <w:rPr>
          <w:sz w:val="22"/>
        </w:rPr>
        <w:t xml:space="preserve"> inclusive”, organizatorzy przewidzieli </w:t>
      </w:r>
      <w:r w:rsidR="00617ABB">
        <w:rPr>
          <w:sz w:val="22"/>
        </w:rPr>
        <w:t xml:space="preserve">bowiem </w:t>
      </w:r>
      <w:r w:rsidRPr="005412DB">
        <w:rPr>
          <w:sz w:val="22"/>
        </w:rPr>
        <w:t>dla nich nowe kategorie „</w:t>
      </w:r>
      <w:proofErr w:type="spellStart"/>
      <w:r w:rsidRPr="005412DB">
        <w:rPr>
          <w:sz w:val="22"/>
        </w:rPr>
        <w:t>all</w:t>
      </w:r>
      <w:proofErr w:type="spellEnd"/>
      <w:r w:rsidRPr="005412DB">
        <w:rPr>
          <w:sz w:val="22"/>
        </w:rPr>
        <w:t xml:space="preserve"> inclusive </w:t>
      </w:r>
      <w:proofErr w:type="spellStart"/>
      <w:r w:rsidRPr="005412DB">
        <w:rPr>
          <w:sz w:val="22"/>
        </w:rPr>
        <w:t>soft</w:t>
      </w:r>
      <w:proofErr w:type="spellEnd"/>
      <w:r w:rsidRPr="005412DB">
        <w:rPr>
          <w:sz w:val="22"/>
        </w:rPr>
        <w:t>” - pomniejszony np. o przekąski</w:t>
      </w:r>
      <w:r>
        <w:rPr>
          <w:sz w:val="22"/>
        </w:rPr>
        <w:t xml:space="preserve"> lub</w:t>
      </w:r>
      <w:r w:rsidRPr="005412DB">
        <w:rPr>
          <w:sz w:val="22"/>
        </w:rPr>
        <w:t xml:space="preserve"> niektóre rodzaje napoi, czy „</w:t>
      </w:r>
      <w:proofErr w:type="spellStart"/>
      <w:r w:rsidRPr="005412DB">
        <w:rPr>
          <w:sz w:val="22"/>
        </w:rPr>
        <w:t>all</w:t>
      </w:r>
      <w:proofErr w:type="spellEnd"/>
      <w:r w:rsidRPr="005412DB">
        <w:rPr>
          <w:sz w:val="22"/>
        </w:rPr>
        <w:t xml:space="preserve"> inclusive ultra” z dodatkowymi udogodnieniami.</w:t>
      </w:r>
    </w:p>
    <w:p w:rsidR="00D0513F" w:rsidRPr="00FC039B" w:rsidRDefault="00FC039B" w:rsidP="00FC039B">
      <w:pPr>
        <w:spacing w:after="240" w:line="360" w:lineRule="auto"/>
        <w:jc w:val="both"/>
        <w:rPr>
          <w:sz w:val="22"/>
          <w:u w:val="single"/>
        </w:rPr>
      </w:pPr>
      <w:r>
        <w:rPr>
          <w:sz w:val="22"/>
        </w:rPr>
        <w:t xml:space="preserve">Po więcej informacji zapraszamy na stronę </w:t>
      </w:r>
      <w:hyperlink r:id="rId11" w:history="1">
        <w:r w:rsidRPr="00E64E89">
          <w:rPr>
            <w:rStyle w:val="Hipercze"/>
            <w:sz w:val="22"/>
          </w:rPr>
          <w:t>Europejskiego Centrum Konsumenckiego</w:t>
        </w:r>
      </w:hyperlink>
      <w:r w:rsidRPr="00E64E89">
        <w:rPr>
          <w:sz w:val="22"/>
        </w:rPr>
        <w:t>.</w:t>
      </w:r>
    </w:p>
    <w:p w:rsidR="00D14EB6" w:rsidRPr="005A6B17" w:rsidRDefault="00D14EB6" w:rsidP="00D14EB6">
      <w:pPr>
        <w:spacing w:after="120" w:line="276" w:lineRule="auto"/>
        <w:jc w:val="both"/>
        <w:rPr>
          <w:bCs/>
          <w:sz w:val="22"/>
        </w:rPr>
      </w:pPr>
      <w:r w:rsidRPr="005A6B17">
        <w:rPr>
          <w:rStyle w:val="Pogrubienie"/>
          <w:rFonts w:cs="Tahoma"/>
        </w:rPr>
        <w:t>Pomoc dla konsumentów:</w:t>
      </w:r>
      <w:r w:rsidRPr="005A6B17">
        <w:rPr>
          <w:szCs w:val="18"/>
        </w:rPr>
        <w:t xml:space="preserve"> </w:t>
      </w:r>
    </w:p>
    <w:p w:rsidR="00617ABB" w:rsidRPr="00617ABB" w:rsidRDefault="00D14EB6" w:rsidP="00D0513F">
      <w:pPr>
        <w:spacing w:before="240" w:after="240" w:line="360" w:lineRule="auto"/>
        <w:rPr>
          <w:color w:val="0000FF"/>
          <w:szCs w:val="18"/>
          <w:u w:val="single"/>
        </w:rPr>
      </w:pPr>
      <w:r w:rsidRPr="005A6B17">
        <w:rPr>
          <w:rFonts w:cs="Tahoma"/>
          <w:szCs w:val="18"/>
        </w:rPr>
        <w:t>Tel. 801 440 220 lub 22 290 89 16 – infolinia konsumencka</w:t>
      </w:r>
      <w:r w:rsidRPr="005A6B17">
        <w:rPr>
          <w:rFonts w:cs="Tahoma"/>
          <w:szCs w:val="18"/>
        </w:rPr>
        <w:br/>
        <w:t>E-mail:</w:t>
      </w:r>
      <w:r w:rsidRPr="005A6B17">
        <w:rPr>
          <w:szCs w:val="18"/>
        </w:rPr>
        <w:t xml:space="preserve"> </w:t>
      </w:r>
      <w:hyperlink r:id="rId12" w:history="1">
        <w:r w:rsidRPr="00D14EB6">
          <w:rPr>
            <w:rStyle w:val="Hipercze"/>
            <w:szCs w:val="18"/>
          </w:rPr>
          <w:t>porady@dlakonsumentow.pl</w:t>
        </w:r>
      </w:hyperlink>
      <w:r w:rsidRPr="005A6B17">
        <w:rPr>
          <w:szCs w:val="18"/>
        </w:rPr>
        <w:t xml:space="preserve"> </w:t>
      </w:r>
      <w:r w:rsidRPr="005A6B17">
        <w:rPr>
          <w:szCs w:val="18"/>
        </w:rPr>
        <w:br/>
      </w:r>
      <w:hyperlink r:id="rId13" w:history="1">
        <w:r w:rsidRPr="00D14EB6">
          <w:rPr>
            <w:rStyle w:val="Hipercze"/>
            <w:szCs w:val="18"/>
          </w:rPr>
          <w:t>Rzecznicy konsumentów</w:t>
        </w:r>
      </w:hyperlink>
      <w:r w:rsidRPr="005A6B17">
        <w:rPr>
          <w:szCs w:val="18"/>
        </w:rPr>
        <w:t xml:space="preserve"> – w Twoim mieście lub powiecie</w:t>
      </w:r>
      <w:r>
        <w:rPr>
          <w:szCs w:val="18"/>
        </w:rPr>
        <w:br/>
        <w:t>Regionalne Ośrodki Konsumenckie</w:t>
      </w:r>
      <w:r w:rsidR="00723EC9">
        <w:rPr>
          <w:szCs w:val="18"/>
        </w:rPr>
        <w:t>: 22 299 60 90</w:t>
      </w:r>
      <w:r>
        <w:rPr>
          <w:szCs w:val="18"/>
        </w:rPr>
        <w:t xml:space="preserve"> – </w:t>
      </w:r>
      <w:hyperlink r:id="rId14" w:history="1">
        <w:r w:rsidRPr="00D14EB6">
          <w:rPr>
            <w:rStyle w:val="Hipercze"/>
            <w:szCs w:val="18"/>
          </w:rPr>
          <w:t>Dlakonsumenta.pl</w:t>
        </w:r>
      </w:hyperlink>
      <w:r>
        <w:rPr>
          <w:szCs w:val="18"/>
        </w:rPr>
        <w:br/>
      </w:r>
      <w:hyperlink r:id="rId15" w:anchor="faq595" w:history="1">
        <w:r w:rsidRPr="00D14EB6">
          <w:rPr>
            <w:rStyle w:val="Hipercze"/>
            <w:szCs w:val="18"/>
          </w:rPr>
          <w:t>Wojewódzkie Inspektoraty Inspekcji Handlowej</w:t>
        </w:r>
      </w:hyperlink>
      <w:r w:rsidR="00617ABB">
        <w:rPr>
          <w:rStyle w:val="Hipercze"/>
          <w:szCs w:val="18"/>
        </w:rPr>
        <w:br/>
      </w:r>
      <w:hyperlink r:id="rId16" w:history="1">
        <w:r w:rsidR="00617ABB" w:rsidRPr="00617ABB">
          <w:rPr>
            <w:rStyle w:val="Hipercze"/>
            <w:szCs w:val="18"/>
          </w:rPr>
          <w:t>Europejskie Centrum Konsumenckie</w:t>
        </w:r>
      </w:hyperlink>
      <w:r w:rsidR="00617ABB">
        <w:rPr>
          <w:rStyle w:val="Hipercze"/>
          <w:szCs w:val="18"/>
        </w:rPr>
        <w:t xml:space="preserve"> </w:t>
      </w:r>
      <w:r w:rsidR="00617ABB" w:rsidRPr="005A6B17">
        <w:rPr>
          <w:szCs w:val="18"/>
        </w:rPr>
        <w:t>– w</w:t>
      </w:r>
      <w:r w:rsidR="00617ABB">
        <w:rPr>
          <w:szCs w:val="18"/>
        </w:rPr>
        <w:t xml:space="preserve"> sprawach transgranicznych</w:t>
      </w:r>
    </w:p>
    <w:sectPr w:rsidR="00617ABB" w:rsidRPr="00617ABB" w:rsidSect="008D527A">
      <w:headerReference w:type="default" r:id="rId17"/>
      <w:footerReference w:type="default" r:id="rId18"/>
      <w:pgSz w:w="11906" w:h="16838"/>
      <w:pgMar w:top="2127" w:right="1417" w:bottom="2127" w:left="1417" w:header="708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885" w:rsidRDefault="00963885">
      <w:r>
        <w:separator/>
      </w:r>
    </w:p>
  </w:endnote>
  <w:endnote w:type="continuationSeparator" w:id="0">
    <w:p w:rsidR="00963885" w:rsidRDefault="0096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1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Pr="00924ABC" w:rsidRDefault="004E081E" w:rsidP="008D527A">
    <w:pPr>
      <w:pStyle w:val="Stopka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98.65pt;margin-top:-13.35pt;width:54.75pt;height:54.75pt;z-index:-251657216;mso-position-horizontal-relative:text;mso-position-vertical-relative:text;mso-width-relative:page;mso-height-relative:page">
          <v:imagedata r:id="rId1" o:title="fotolia_64043943"/>
        </v:shape>
      </w:pict>
    </w:r>
    <w:r w:rsidR="008D527A" w:rsidRPr="004C1243">
      <w:rPr>
        <w:rFonts w:ascii="Segoe UI Semibold" w:hAnsi="Segoe UI Semibold" w:cs="Segoe UI Semibold"/>
        <w:noProof/>
        <w:color w:val="595959" w:themeColor="text1" w:themeTint="A6"/>
        <w:sz w:val="16"/>
        <w:szCs w:val="16"/>
        <w:lang w:val="pl-PL" w:eastAsia="pl-PL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>
              <wp:simplePos x="0" y="0"/>
              <wp:positionH relativeFrom="margin">
                <wp:posOffset>3710305</wp:posOffset>
              </wp:positionH>
              <wp:positionV relativeFrom="paragraph">
                <wp:posOffset>-88265</wp:posOffset>
              </wp:positionV>
              <wp:extent cx="1323975" cy="543560"/>
              <wp:effectExtent l="0" t="0" r="28575" b="2794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397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1243" w:rsidRPr="006A2065" w:rsidRDefault="004C1243" w:rsidP="004C1243">
                          <w:pPr>
                            <w:spacing w:before="100" w:beforeAutospacing="1"/>
                            <w:ind w:right="-113"/>
                            <w:jc w:val="right"/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</w:pP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t>KOMUNIKAT</w:t>
                          </w:r>
                          <w:r w:rsidRPr="006A2065">
                            <w:rPr>
                              <w:rFonts w:ascii="Segoe UI Black" w:hAnsi="Segoe UI Black"/>
                              <w:color w:val="C77D4C"/>
                              <w:sz w:val="28"/>
                              <w:szCs w:val="28"/>
                            </w:rPr>
                            <w:br/>
                            <w:t>PRASOWY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2.15pt;margin-top:-6.95pt;width:104.25pt;height:42.8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" strokecolor="white [3212]">
              <v:textbox>
                <w:txbxContent>
                  <w:p w:rsidR="004C1243" w:rsidRPr="006A2065" w:rsidRDefault="004C1243" w:rsidP="004C1243">
                    <w:pPr>
                      <w:spacing w:before="100" w:beforeAutospacing="1"/>
                      <w:ind w:right="-113"/>
                      <w:jc w:val="right"/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</w:pP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t>KOMUNIKAT</w:t>
                    </w:r>
                    <w:r w:rsidRPr="006A2065">
                      <w:rPr>
                        <w:rFonts w:ascii="Segoe UI Black" w:hAnsi="Segoe UI Black"/>
                        <w:color w:val="C77D4C"/>
                        <w:sz w:val="28"/>
                        <w:szCs w:val="28"/>
                      </w:rPr>
                      <w:br/>
                      <w:t>PRASOWY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D527A" w:rsidRPr="00A53423">
      <w:rPr>
        <w:rFonts w:ascii="Segoe UI Semibold" w:hAnsi="Segoe UI Semibold" w:cs="Segoe UI Semibold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662556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2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 </w:t>
    </w:r>
    <w:r w:rsidR="00C21071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>088</w:t>
    </w:r>
  </w:p>
  <w:p w:rsidR="0059016B" w:rsidRPr="00A53423" w:rsidRDefault="00C21071" w:rsidP="008D527A">
    <w:pPr>
      <w:pStyle w:val="TEKSTKOMUNIKATU"/>
      <w:spacing w:after="120" w:line="240" w:lineRule="auto"/>
      <w:jc w:val="left"/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</w:pP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Biuro Prasowe  UOKiK  Pl. Powstańców Warszawy 1, 00-950 Warszawa </w:t>
    </w:r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br/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E-mail: </w:t>
    </w:r>
    <w:hyperlink r:id="rId2" w:history="1">
      <w:r w:rsidR="008C53D0"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 </w:t>
    </w:r>
    <w:r w:rsidRPr="00A53423">
      <w:rPr>
        <w:rFonts w:ascii="Segoe UI Semibold" w:hAnsi="Segoe UI Semibold" w:cs="Segoe UI Semibold"/>
        <w:color w:val="595959" w:themeColor="text1" w:themeTint="A6"/>
        <w:sz w:val="16"/>
        <w:szCs w:val="16"/>
        <w:lang w:val="pl-PL"/>
      </w:rPr>
      <w:t xml:space="preserve">Twitter: </w:t>
    </w:r>
    <w:hyperlink r:id="rId3" w:history="1">
      <w:r w:rsidRPr="00A53423">
        <w:rPr>
          <w:rStyle w:val="Hipercze"/>
          <w:rFonts w:ascii="Segoe UI Semibold" w:hAnsi="Segoe UI Semibold" w:cs="Segoe UI Semibold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Pr="00A53423">
        <w:rPr>
          <w:rStyle w:val="u-linkcomplex-target"/>
          <w:rFonts w:ascii="Segoe UI Semibold" w:hAnsi="Segoe UI Semibold" w:cs="Segoe UI Semibold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885" w:rsidRDefault="00963885">
      <w:r>
        <w:separator/>
      </w:r>
    </w:p>
  </w:footnote>
  <w:footnote w:type="continuationSeparator" w:id="0">
    <w:p w:rsidR="00963885" w:rsidRDefault="00963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C21071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 wp14:anchorId="6BDE69C9" wp14:editId="4E8D432C">
          <wp:simplePos x="0" y="0"/>
          <wp:positionH relativeFrom="column">
            <wp:posOffset>-28575</wp:posOffset>
          </wp:positionH>
          <wp:positionV relativeFrom="paragraph">
            <wp:posOffset>-105410</wp:posOffset>
          </wp:positionV>
          <wp:extent cx="1485900" cy="534670"/>
          <wp:effectExtent l="0" t="0" r="0" b="0"/>
          <wp:wrapNone/>
          <wp:docPr id="19" name="Picture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logo uokik PL-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59016B" w:rsidRDefault="004E081E" w:rsidP="0041396E">
    <w:pPr>
      <w:pStyle w:val="Nagwek"/>
      <w:tabs>
        <w:tab w:val="clear" w:pos="9072"/>
      </w:tabs>
    </w:pPr>
  </w:p>
  <w:p w:rsidR="0059016B" w:rsidRDefault="004E081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30C86"/>
    <w:multiLevelType w:val="hybridMultilevel"/>
    <w:tmpl w:val="534AA5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F66E5"/>
    <w:multiLevelType w:val="hybridMultilevel"/>
    <w:tmpl w:val="8FD099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E00"/>
    <w:rsid w:val="00011AF2"/>
    <w:rsid w:val="00023634"/>
    <w:rsid w:val="00042F96"/>
    <w:rsid w:val="000505C8"/>
    <w:rsid w:val="000651E9"/>
    <w:rsid w:val="00073AA7"/>
    <w:rsid w:val="000A74FA"/>
    <w:rsid w:val="000B149D"/>
    <w:rsid w:val="000B1AC5"/>
    <w:rsid w:val="000B7247"/>
    <w:rsid w:val="000E5E37"/>
    <w:rsid w:val="0010559C"/>
    <w:rsid w:val="00107844"/>
    <w:rsid w:val="00120FBD"/>
    <w:rsid w:val="0012424D"/>
    <w:rsid w:val="0013159A"/>
    <w:rsid w:val="00135455"/>
    <w:rsid w:val="00143310"/>
    <w:rsid w:val="00144E9C"/>
    <w:rsid w:val="00161094"/>
    <w:rsid w:val="00163DF9"/>
    <w:rsid w:val="001666D6"/>
    <w:rsid w:val="00166B5D"/>
    <w:rsid w:val="001675EF"/>
    <w:rsid w:val="0017028A"/>
    <w:rsid w:val="00190D5A"/>
    <w:rsid w:val="00194BD7"/>
    <w:rsid w:val="001979B5"/>
    <w:rsid w:val="001A5F7C"/>
    <w:rsid w:val="001A6E5B"/>
    <w:rsid w:val="001A7451"/>
    <w:rsid w:val="001C1FAD"/>
    <w:rsid w:val="001E188E"/>
    <w:rsid w:val="001E4F92"/>
    <w:rsid w:val="001F3A64"/>
    <w:rsid w:val="001F4A73"/>
    <w:rsid w:val="00205580"/>
    <w:rsid w:val="00211072"/>
    <w:rsid w:val="002157BB"/>
    <w:rsid w:val="002262B5"/>
    <w:rsid w:val="0023138D"/>
    <w:rsid w:val="00235A61"/>
    <w:rsid w:val="0024118E"/>
    <w:rsid w:val="00241BAC"/>
    <w:rsid w:val="00244B7F"/>
    <w:rsid w:val="00260382"/>
    <w:rsid w:val="00266CB4"/>
    <w:rsid w:val="00267DD1"/>
    <w:rsid w:val="002801AA"/>
    <w:rsid w:val="00295B34"/>
    <w:rsid w:val="002A5D69"/>
    <w:rsid w:val="002B1DBF"/>
    <w:rsid w:val="002C0D5D"/>
    <w:rsid w:val="002C692D"/>
    <w:rsid w:val="002C6ABE"/>
    <w:rsid w:val="002E388C"/>
    <w:rsid w:val="002F1BF3"/>
    <w:rsid w:val="002F4D43"/>
    <w:rsid w:val="003056C6"/>
    <w:rsid w:val="00311B14"/>
    <w:rsid w:val="00324306"/>
    <w:rsid w:val="003278D6"/>
    <w:rsid w:val="003303F0"/>
    <w:rsid w:val="00331F0A"/>
    <w:rsid w:val="0034059B"/>
    <w:rsid w:val="0035019C"/>
    <w:rsid w:val="003513CE"/>
    <w:rsid w:val="00360248"/>
    <w:rsid w:val="00366A46"/>
    <w:rsid w:val="00377A0D"/>
    <w:rsid w:val="0038677D"/>
    <w:rsid w:val="00397DBF"/>
    <w:rsid w:val="003C2ABF"/>
    <w:rsid w:val="003D3FF4"/>
    <w:rsid w:val="003D7161"/>
    <w:rsid w:val="003E3F9D"/>
    <w:rsid w:val="003E69E5"/>
    <w:rsid w:val="0040748E"/>
    <w:rsid w:val="00412206"/>
    <w:rsid w:val="00427E08"/>
    <w:rsid w:val="004349BA"/>
    <w:rsid w:val="0043575C"/>
    <w:rsid w:val="004365C7"/>
    <w:rsid w:val="004425B7"/>
    <w:rsid w:val="00444A85"/>
    <w:rsid w:val="00462CFA"/>
    <w:rsid w:val="0047057F"/>
    <w:rsid w:val="00486DB1"/>
    <w:rsid w:val="00493E10"/>
    <w:rsid w:val="004972E8"/>
    <w:rsid w:val="004C0F9E"/>
    <w:rsid w:val="004C1243"/>
    <w:rsid w:val="004C5C26"/>
    <w:rsid w:val="004E081E"/>
    <w:rsid w:val="004E2CAB"/>
    <w:rsid w:val="004F7E99"/>
    <w:rsid w:val="005003F9"/>
    <w:rsid w:val="0050417B"/>
    <w:rsid w:val="005133CE"/>
    <w:rsid w:val="00521BA3"/>
    <w:rsid w:val="00523E0D"/>
    <w:rsid w:val="00525588"/>
    <w:rsid w:val="0052710E"/>
    <w:rsid w:val="005442FC"/>
    <w:rsid w:val="0055631D"/>
    <w:rsid w:val="0056072F"/>
    <w:rsid w:val="00593935"/>
    <w:rsid w:val="005973FD"/>
    <w:rsid w:val="00597C68"/>
    <w:rsid w:val="005A382B"/>
    <w:rsid w:val="005A4047"/>
    <w:rsid w:val="005C0D39"/>
    <w:rsid w:val="005C6232"/>
    <w:rsid w:val="005D6F7A"/>
    <w:rsid w:val="005E78EE"/>
    <w:rsid w:val="005F139F"/>
    <w:rsid w:val="005F1EBD"/>
    <w:rsid w:val="006063D0"/>
    <w:rsid w:val="00613C45"/>
    <w:rsid w:val="00617ABB"/>
    <w:rsid w:val="00633D4E"/>
    <w:rsid w:val="0063526F"/>
    <w:rsid w:val="00637E86"/>
    <w:rsid w:val="006422DE"/>
    <w:rsid w:val="006439FA"/>
    <w:rsid w:val="00647331"/>
    <w:rsid w:val="006509FF"/>
    <w:rsid w:val="0067485D"/>
    <w:rsid w:val="006A2065"/>
    <w:rsid w:val="006A3D88"/>
    <w:rsid w:val="006A4A7A"/>
    <w:rsid w:val="006B0848"/>
    <w:rsid w:val="006B232F"/>
    <w:rsid w:val="006B733D"/>
    <w:rsid w:val="006C34AE"/>
    <w:rsid w:val="006C67AF"/>
    <w:rsid w:val="006C7747"/>
    <w:rsid w:val="006D0A6E"/>
    <w:rsid w:val="006D3DC5"/>
    <w:rsid w:val="006F143B"/>
    <w:rsid w:val="007039EC"/>
    <w:rsid w:val="0071572D"/>
    <w:rsid w:val="007157BA"/>
    <w:rsid w:val="007169F9"/>
    <w:rsid w:val="007174A6"/>
    <w:rsid w:val="007224B3"/>
    <w:rsid w:val="00723EC9"/>
    <w:rsid w:val="00731303"/>
    <w:rsid w:val="0073159E"/>
    <w:rsid w:val="0074027F"/>
    <w:rsid w:val="007402E0"/>
    <w:rsid w:val="0074489D"/>
    <w:rsid w:val="007514AD"/>
    <w:rsid w:val="0075524D"/>
    <w:rsid w:val="007560B0"/>
    <w:rsid w:val="00776C4F"/>
    <w:rsid w:val="007838E4"/>
    <w:rsid w:val="00795C1B"/>
    <w:rsid w:val="007A19D8"/>
    <w:rsid w:val="007C4091"/>
    <w:rsid w:val="007D0B4B"/>
    <w:rsid w:val="007E2AED"/>
    <w:rsid w:val="007E36E4"/>
    <w:rsid w:val="007F0ACE"/>
    <w:rsid w:val="00804024"/>
    <w:rsid w:val="0081753E"/>
    <w:rsid w:val="008239CA"/>
    <w:rsid w:val="0085010E"/>
    <w:rsid w:val="0085454F"/>
    <w:rsid w:val="0087354F"/>
    <w:rsid w:val="00891DA2"/>
    <w:rsid w:val="00896985"/>
    <w:rsid w:val="008C53D0"/>
    <w:rsid w:val="008C5F2B"/>
    <w:rsid w:val="008D527A"/>
    <w:rsid w:val="008D56DA"/>
    <w:rsid w:val="008D5771"/>
    <w:rsid w:val="008F472E"/>
    <w:rsid w:val="00902556"/>
    <w:rsid w:val="0090338C"/>
    <w:rsid w:val="0091048E"/>
    <w:rsid w:val="00924ABC"/>
    <w:rsid w:val="00936E2E"/>
    <w:rsid w:val="00940E8F"/>
    <w:rsid w:val="0095309C"/>
    <w:rsid w:val="00963885"/>
    <w:rsid w:val="009652F2"/>
    <w:rsid w:val="009719ED"/>
    <w:rsid w:val="00986C37"/>
    <w:rsid w:val="00997528"/>
    <w:rsid w:val="0099796A"/>
    <w:rsid w:val="009A7A8F"/>
    <w:rsid w:val="009C1346"/>
    <w:rsid w:val="009D05C8"/>
    <w:rsid w:val="009E3C0B"/>
    <w:rsid w:val="00A1008C"/>
    <w:rsid w:val="00A13244"/>
    <w:rsid w:val="00A239AA"/>
    <w:rsid w:val="00A439E8"/>
    <w:rsid w:val="00A45753"/>
    <w:rsid w:val="00A53423"/>
    <w:rsid w:val="00A62659"/>
    <w:rsid w:val="00A65F20"/>
    <w:rsid w:val="00A76293"/>
    <w:rsid w:val="00A77DA2"/>
    <w:rsid w:val="00A85D9D"/>
    <w:rsid w:val="00A92C4C"/>
    <w:rsid w:val="00AA21E6"/>
    <w:rsid w:val="00AA602D"/>
    <w:rsid w:val="00AB159D"/>
    <w:rsid w:val="00AB572D"/>
    <w:rsid w:val="00AE2923"/>
    <w:rsid w:val="00AE7F9D"/>
    <w:rsid w:val="00B028F7"/>
    <w:rsid w:val="00B22863"/>
    <w:rsid w:val="00B26EA4"/>
    <w:rsid w:val="00B41502"/>
    <w:rsid w:val="00B51024"/>
    <w:rsid w:val="00B60CD8"/>
    <w:rsid w:val="00B60F9C"/>
    <w:rsid w:val="00B6769E"/>
    <w:rsid w:val="00B721C9"/>
    <w:rsid w:val="00B73F22"/>
    <w:rsid w:val="00B76F9A"/>
    <w:rsid w:val="00B810B2"/>
    <w:rsid w:val="00BA26F7"/>
    <w:rsid w:val="00BA79F0"/>
    <w:rsid w:val="00BB5068"/>
    <w:rsid w:val="00BB7AE8"/>
    <w:rsid w:val="00BD0481"/>
    <w:rsid w:val="00BD4447"/>
    <w:rsid w:val="00BE2623"/>
    <w:rsid w:val="00BE2C05"/>
    <w:rsid w:val="00BE3923"/>
    <w:rsid w:val="00BE4BF0"/>
    <w:rsid w:val="00BE5EE5"/>
    <w:rsid w:val="00BE641B"/>
    <w:rsid w:val="00BE68EE"/>
    <w:rsid w:val="00BE7F63"/>
    <w:rsid w:val="00BF45FB"/>
    <w:rsid w:val="00C123B1"/>
    <w:rsid w:val="00C21071"/>
    <w:rsid w:val="00C2398C"/>
    <w:rsid w:val="00C25569"/>
    <w:rsid w:val="00C27366"/>
    <w:rsid w:val="00C3511F"/>
    <w:rsid w:val="00C63AA8"/>
    <w:rsid w:val="00C7783C"/>
    <w:rsid w:val="00CA2769"/>
    <w:rsid w:val="00CA6B58"/>
    <w:rsid w:val="00CB1AE6"/>
    <w:rsid w:val="00CB3ED4"/>
    <w:rsid w:val="00CB3F86"/>
    <w:rsid w:val="00CB7D42"/>
    <w:rsid w:val="00CD34F0"/>
    <w:rsid w:val="00CE0954"/>
    <w:rsid w:val="00CF11F7"/>
    <w:rsid w:val="00CF14F3"/>
    <w:rsid w:val="00D02370"/>
    <w:rsid w:val="00D0513F"/>
    <w:rsid w:val="00D11F04"/>
    <w:rsid w:val="00D1323F"/>
    <w:rsid w:val="00D14EB6"/>
    <w:rsid w:val="00D202BA"/>
    <w:rsid w:val="00D251AC"/>
    <w:rsid w:val="00D43766"/>
    <w:rsid w:val="00D47CCF"/>
    <w:rsid w:val="00D56F26"/>
    <w:rsid w:val="00D6457B"/>
    <w:rsid w:val="00D66DEC"/>
    <w:rsid w:val="00D71A41"/>
    <w:rsid w:val="00D768A4"/>
    <w:rsid w:val="00D92F52"/>
    <w:rsid w:val="00DA753F"/>
    <w:rsid w:val="00DC5754"/>
    <w:rsid w:val="00DD33F3"/>
    <w:rsid w:val="00DD34A3"/>
    <w:rsid w:val="00DD56A6"/>
    <w:rsid w:val="00DD6056"/>
    <w:rsid w:val="00DE7C6A"/>
    <w:rsid w:val="00DF2857"/>
    <w:rsid w:val="00DF782B"/>
    <w:rsid w:val="00E03AEF"/>
    <w:rsid w:val="00E102DE"/>
    <w:rsid w:val="00E42093"/>
    <w:rsid w:val="00E522AD"/>
    <w:rsid w:val="00E64103"/>
    <w:rsid w:val="00E64E89"/>
    <w:rsid w:val="00E76CD1"/>
    <w:rsid w:val="00EE4AD8"/>
    <w:rsid w:val="00F139AC"/>
    <w:rsid w:val="00F21EAC"/>
    <w:rsid w:val="00F3243D"/>
    <w:rsid w:val="00F46D0D"/>
    <w:rsid w:val="00F631FE"/>
    <w:rsid w:val="00F70904"/>
    <w:rsid w:val="00F92B59"/>
    <w:rsid w:val="00F948BC"/>
    <w:rsid w:val="00F960CF"/>
    <w:rsid w:val="00FA10A3"/>
    <w:rsid w:val="00FA1226"/>
    <w:rsid w:val="00FA23D6"/>
    <w:rsid w:val="00FC039B"/>
    <w:rsid w:val="00FC228C"/>
    <w:rsid w:val="00FC51EB"/>
    <w:rsid w:val="00FD09D8"/>
    <w:rsid w:val="00FE3A92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0DC2E6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okik.gov.pl/wazne_adresy.php" TargetMode="External"/><Relationship Id="rId13" Type="http://schemas.openxmlformats.org/officeDocument/2006/relationships/hyperlink" Target="https://uokik.gov.pl/pomoc.php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sument.gov.pl/aktualnosci/wyzywienie-na-wakacjach/" TargetMode="External"/><Relationship Id="rId12" Type="http://schemas.openxmlformats.org/officeDocument/2006/relationships/hyperlink" Target="mailto:porady@dlakonsumentow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konsument.gov.pl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nsument.gov.pl/aktualnosci/wyzywienie-na-wakacjac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okik.gov.pl/wazne_adresy.php" TargetMode="External"/><Relationship Id="rId10" Type="http://schemas.openxmlformats.org/officeDocument/2006/relationships/hyperlink" Target="https://www.uokik.gov.pl/wazne_adresy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ttp://polubowne.uokik.gov.pl/" TargetMode="External"/><Relationship Id="rId14" Type="http://schemas.openxmlformats.org/officeDocument/2006/relationships/hyperlink" Target="http://dlakonsumenta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UOKiKgovPL" TargetMode="External"/><Relationship Id="rId2" Type="http://schemas.openxmlformats.org/officeDocument/2006/relationships/hyperlink" Target="mailto:biuroprasowe@uokik.gov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1042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Biuro Prasowe</cp:lastModifiedBy>
  <cp:revision>7</cp:revision>
  <cp:lastPrinted>2019-06-13T14:16:00Z</cp:lastPrinted>
  <dcterms:created xsi:type="dcterms:W3CDTF">2019-06-18T08:51:00Z</dcterms:created>
  <dcterms:modified xsi:type="dcterms:W3CDTF">2019-06-21T07:53:00Z</dcterms:modified>
</cp:coreProperties>
</file>