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62AFF" w14:textId="133DF3E8" w:rsidR="00FB3A8C" w:rsidRPr="00FB3A8C" w:rsidRDefault="00A677FE" w:rsidP="00633299">
      <w:pPr>
        <w:spacing w:line="276" w:lineRule="auto"/>
        <w:ind w:left="113" w:right="113"/>
        <w:jc w:val="both"/>
        <w:rPr>
          <w:rFonts w:ascii="URW DIN" w:hAnsi="URW DIN"/>
        </w:rPr>
      </w:pPr>
      <w:r>
        <w:rPr>
          <w:rFonts w:ascii="URW DIN" w:hAnsi="URW DIN"/>
        </w:rPr>
        <w:t xml:space="preserve"> </w:t>
      </w:r>
    </w:p>
    <w:p w14:paraId="688C28AA" w14:textId="77777777" w:rsidR="00FB3A8C" w:rsidRPr="00FB3A8C" w:rsidRDefault="00FB3A8C" w:rsidP="00633299">
      <w:pPr>
        <w:spacing w:line="276" w:lineRule="auto"/>
        <w:ind w:left="113" w:right="113"/>
        <w:jc w:val="both"/>
        <w:rPr>
          <w:rFonts w:ascii="URW DIN" w:hAnsi="URW DIN"/>
        </w:rPr>
      </w:pPr>
    </w:p>
    <w:p w14:paraId="1F318061" w14:textId="7E9F2190" w:rsidR="00FB3A8C" w:rsidRPr="00B056F6" w:rsidRDefault="00FB3A8C" w:rsidP="00633299">
      <w:pPr>
        <w:spacing w:line="276" w:lineRule="auto"/>
        <w:ind w:left="113" w:right="113"/>
        <w:jc w:val="right"/>
        <w:rPr>
          <w:rFonts w:ascii="URW DIN" w:hAnsi="URW DIN"/>
          <w:sz w:val="18"/>
          <w:szCs w:val="18"/>
        </w:rPr>
      </w:pPr>
      <w:r w:rsidRPr="00B056F6">
        <w:rPr>
          <w:rFonts w:ascii="URW DIN" w:hAnsi="URW DIN"/>
          <w:sz w:val="18"/>
          <w:szCs w:val="18"/>
        </w:rPr>
        <w:t xml:space="preserve">Warszawa, </w:t>
      </w:r>
      <w:r w:rsidR="003B0880" w:rsidRPr="00B056F6">
        <w:rPr>
          <w:rFonts w:ascii="URW DIN" w:hAnsi="URW DIN"/>
          <w:sz w:val="18"/>
          <w:szCs w:val="18"/>
        </w:rPr>
        <w:t>1</w:t>
      </w:r>
      <w:r w:rsidRPr="00B056F6">
        <w:rPr>
          <w:rFonts w:ascii="URW DIN" w:hAnsi="URW DIN"/>
          <w:sz w:val="18"/>
          <w:szCs w:val="18"/>
        </w:rPr>
        <w:t xml:space="preserve"> </w:t>
      </w:r>
      <w:r w:rsidR="003B0880" w:rsidRPr="00B056F6">
        <w:rPr>
          <w:rFonts w:ascii="URW DIN" w:hAnsi="URW DIN"/>
          <w:sz w:val="18"/>
          <w:szCs w:val="18"/>
        </w:rPr>
        <w:t xml:space="preserve">lipca </w:t>
      </w:r>
      <w:r w:rsidRPr="00B056F6">
        <w:rPr>
          <w:rFonts w:ascii="URW DIN" w:hAnsi="URW DIN"/>
          <w:sz w:val="18"/>
          <w:szCs w:val="18"/>
        </w:rPr>
        <w:t>202</w:t>
      </w:r>
      <w:r w:rsidR="001B0CF2" w:rsidRPr="00B056F6">
        <w:rPr>
          <w:rFonts w:ascii="URW DIN" w:hAnsi="URW DIN"/>
          <w:sz w:val="18"/>
          <w:szCs w:val="18"/>
        </w:rPr>
        <w:t>2</w:t>
      </w:r>
      <w:r w:rsidRPr="00B056F6">
        <w:rPr>
          <w:rFonts w:ascii="URW DIN" w:hAnsi="URW DIN"/>
          <w:sz w:val="18"/>
          <w:szCs w:val="18"/>
        </w:rPr>
        <w:t xml:space="preserve"> r.</w:t>
      </w:r>
    </w:p>
    <w:p w14:paraId="124D4D16" w14:textId="77777777" w:rsidR="00077095" w:rsidRDefault="00077095" w:rsidP="00633299">
      <w:pPr>
        <w:spacing w:line="276" w:lineRule="auto"/>
        <w:jc w:val="both"/>
        <w:rPr>
          <w:rFonts w:ascii="URW DIN" w:hAnsi="URW DIN"/>
          <w:b/>
          <w:bCs/>
        </w:rPr>
      </w:pPr>
    </w:p>
    <w:p w14:paraId="6AAAD31B" w14:textId="398F47E3" w:rsidR="00077095" w:rsidRPr="00762E3B" w:rsidRDefault="00762E3B" w:rsidP="00762E3B">
      <w:pPr>
        <w:tabs>
          <w:tab w:val="left" w:pos="1843"/>
        </w:tabs>
        <w:spacing w:line="276" w:lineRule="auto"/>
        <w:jc w:val="center"/>
        <w:rPr>
          <w:rFonts w:ascii="URW DIN" w:hAnsi="URW DIN"/>
          <w:b/>
          <w:bCs/>
          <w:sz w:val="20"/>
          <w:szCs w:val="20"/>
        </w:rPr>
      </w:pPr>
      <w:r w:rsidRPr="00762E3B">
        <w:rPr>
          <w:rStyle w:val="Odwoaniedokomentarza"/>
          <w:rFonts w:ascii="URW DIN" w:hAnsi="URW DIN"/>
          <w:b/>
          <w:bCs/>
          <w:sz w:val="20"/>
          <w:szCs w:val="20"/>
        </w:rPr>
        <w:t xml:space="preserve">Od dziś zakup mieszkania od dewelopera jest bezpieczniejszy – ruszył Deweloperski </w:t>
      </w:r>
      <w:r w:rsidR="00E373EC">
        <w:rPr>
          <w:rStyle w:val="Odwoaniedokomentarza"/>
          <w:rFonts w:ascii="URW DIN" w:hAnsi="URW DIN"/>
          <w:b/>
          <w:bCs/>
          <w:sz w:val="20"/>
          <w:szCs w:val="20"/>
        </w:rPr>
        <w:br/>
      </w:r>
      <w:r w:rsidRPr="00762E3B">
        <w:rPr>
          <w:rStyle w:val="Odwoaniedokomentarza"/>
          <w:rFonts w:ascii="URW DIN" w:hAnsi="URW DIN"/>
          <w:b/>
          <w:bCs/>
          <w:sz w:val="20"/>
          <w:szCs w:val="20"/>
        </w:rPr>
        <w:t>Fundusz Gwarancyjny</w:t>
      </w:r>
    </w:p>
    <w:p w14:paraId="75940603" w14:textId="58C0BCB4" w:rsidR="001B0CF2" w:rsidRPr="00762E3B" w:rsidRDefault="001B0CF2" w:rsidP="00633299">
      <w:pPr>
        <w:spacing w:line="276" w:lineRule="auto"/>
        <w:jc w:val="both"/>
        <w:rPr>
          <w:rFonts w:ascii="URW DIN" w:hAnsi="URW DIN"/>
          <w:b/>
          <w:bCs/>
          <w:sz w:val="20"/>
          <w:szCs w:val="20"/>
        </w:rPr>
      </w:pPr>
    </w:p>
    <w:p w14:paraId="4B86780F" w14:textId="73666074" w:rsidR="00762E3B" w:rsidRPr="00762E3B" w:rsidRDefault="00762E3B" w:rsidP="00762E3B">
      <w:pPr>
        <w:spacing w:line="276" w:lineRule="auto"/>
        <w:jc w:val="both"/>
        <w:rPr>
          <w:rFonts w:ascii="URW DIN" w:hAnsi="URW DIN"/>
          <w:b/>
          <w:bCs/>
          <w:sz w:val="20"/>
          <w:szCs w:val="20"/>
        </w:rPr>
      </w:pPr>
      <w:r w:rsidRPr="00762E3B">
        <w:rPr>
          <w:rFonts w:ascii="URW DIN" w:hAnsi="URW DIN"/>
          <w:b/>
          <w:bCs/>
          <w:sz w:val="20"/>
          <w:szCs w:val="20"/>
        </w:rPr>
        <w:t xml:space="preserve">Wchodzi w życie nowa ustawa deweloperska, dzięki której nabywcy mieszkań na rynku pierwotnym będą lepiej chronieni – odzyskają całość wpłaconych pieniędzy nawet w przypadku upadłości dewelopera. Urząd Ochrony Konkurencji i Konsumentów oraz </w:t>
      </w:r>
      <w:r w:rsidR="00E373EC">
        <w:rPr>
          <w:rFonts w:ascii="URW DIN" w:hAnsi="URW DIN"/>
          <w:b/>
          <w:bCs/>
          <w:sz w:val="20"/>
          <w:szCs w:val="20"/>
        </w:rPr>
        <w:t>Ubezpieczeniowy Fundusz Gwarancyjny</w:t>
      </w:r>
      <w:r w:rsidRPr="00762E3B">
        <w:rPr>
          <w:rFonts w:ascii="URW DIN" w:hAnsi="URW DIN"/>
          <w:b/>
          <w:bCs/>
          <w:sz w:val="20"/>
          <w:szCs w:val="20"/>
        </w:rPr>
        <w:t xml:space="preserve"> wspólnie wyjaśniają najważniejsze zmiany. </w:t>
      </w:r>
    </w:p>
    <w:p w14:paraId="75141F3A" w14:textId="77777777" w:rsidR="00762E3B" w:rsidRPr="00633299" w:rsidRDefault="00762E3B" w:rsidP="00762E3B">
      <w:pPr>
        <w:spacing w:line="276" w:lineRule="auto"/>
        <w:jc w:val="center"/>
        <w:rPr>
          <w:rFonts w:ascii="URW DIN" w:hAnsi="URW DIN"/>
          <w:sz w:val="20"/>
          <w:szCs w:val="20"/>
        </w:rPr>
      </w:pPr>
    </w:p>
    <w:p w14:paraId="5BACF9C2" w14:textId="24E3C96A" w:rsidR="001B0CF2" w:rsidRPr="00762E3B" w:rsidRDefault="001B0CF2" w:rsidP="00633299">
      <w:pPr>
        <w:spacing w:line="276" w:lineRule="auto"/>
        <w:jc w:val="both"/>
        <w:rPr>
          <w:rFonts w:ascii="URW DIN" w:hAnsi="URW DIN"/>
          <w:sz w:val="20"/>
          <w:szCs w:val="20"/>
        </w:rPr>
      </w:pPr>
      <w:r w:rsidRPr="00762E3B">
        <w:rPr>
          <w:rFonts w:ascii="URW DIN" w:hAnsi="URW DIN"/>
          <w:sz w:val="20"/>
          <w:szCs w:val="20"/>
        </w:rPr>
        <w:t xml:space="preserve">Zakup mieszkania czy domu to </w:t>
      </w:r>
      <w:r w:rsidR="00755480" w:rsidRPr="00762E3B">
        <w:rPr>
          <w:rFonts w:ascii="URW DIN" w:hAnsi="URW DIN"/>
          <w:sz w:val="20"/>
          <w:szCs w:val="20"/>
        </w:rPr>
        <w:t>dla większości Polaków</w:t>
      </w:r>
      <w:r w:rsidR="00F97A4A" w:rsidRPr="00762E3B">
        <w:rPr>
          <w:rFonts w:ascii="URW DIN" w:hAnsi="URW DIN"/>
          <w:sz w:val="20"/>
          <w:szCs w:val="20"/>
        </w:rPr>
        <w:t xml:space="preserve"> </w:t>
      </w:r>
      <w:r w:rsidRPr="00762E3B">
        <w:rPr>
          <w:rFonts w:ascii="URW DIN" w:hAnsi="URW DIN"/>
          <w:sz w:val="20"/>
          <w:szCs w:val="20"/>
        </w:rPr>
        <w:t xml:space="preserve">jedna z najważniejszych decyzji </w:t>
      </w:r>
      <w:r w:rsidR="00ED3D7F" w:rsidRPr="00762E3B">
        <w:rPr>
          <w:rFonts w:ascii="URW DIN" w:hAnsi="URW DIN"/>
          <w:sz w:val="20"/>
          <w:szCs w:val="20"/>
        </w:rPr>
        <w:t>finansowych</w:t>
      </w:r>
      <w:r w:rsidRPr="00762E3B">
        <w:rPr>
          <w:rFonts w:ascii="URW DIN" w:hAnsi="URW DIN"/>
          <w:sz w:val="20"/>
          <w:szCs w:val="20"/>
        </w:rPr>
        <w:t xml:space="preserve">. </w:t>
      </w:r>
      <w:r w:rsidR="00DA71C6" w:rsidRPr="00762E3B">
        <w:rPr>
          <w:rFonts w:ascii="URW DIN" w:hAnsi="URW DIN"/>
          <w:sz w:val="20"/>
          <w:szCs w:val="20"/>
        </w:rPr>
        <w:t>Jak wynika z badania</w:t>
      </w:r>
      <w:r w:rsidR="005A4DF6" w:rsidRPr="00762E3B">
        <w:rPr>
          <w:rFonts w:ascii="URW DIN" w:hAnsi="URW DIN"/>
          <w:sz w:val="20"/>
          <w:szCs w:val="20"/>
        </w:rPr>
        <w:t xml:space="preserve"> przeprowadzonego na zlecenie </w:t>
      </w:r>
      <w:r w:rsidR="00F97A4A" w:rsidRPr="00762E3B">
        <w:rPr>
          <w:rFonts w:ascii="URW DIN" w:hAnsi="URW DIN"/>
          <w:sz w:val="20"/>
          <w:szCs w:val="20"/>
        </w:rPr>
        <w:t>Ubezpieczeniowego Funduszu Gwarancyjnego</w:t>
      </w:r>
      <w:r w:rsidR="004075FF">
        <w:rPr>
          <w:rFonts w:ascii="URW DIN" w:hAnsi="URW DIN"/>
          <w:sz w:val="20"/>
          <w:szCs w:val="20"/>
        </w:rPr>
        <w:t>*</w:t>
      </w:r>
      <w:r w:rsidR="00A20B7A" w:rsidRPr="00762E3B">
        <w:rPr>
          <w:rFonts w:ascii="URW DIN" w:hAnsi="URW DIN"/>
          <w:sz w:val="20"/>
          <w:szCs w:val="20"/>
        </w:rPr>
        <w:t>,</w:t>
      </w:r>
      <w:r w:rsidR="00DA71C6" w:rsidRPr="00762E3B">
        <w:rPr>
          <w:rFonts w:ascii="URW DIN" w:hAnsi="URW DIN"/>
          <w:sz w:val="20"/>
          <w:szCs w:val="20"/>
        </w:rPr>
        <w:t xml:space="preserve"> </w:t>
      </w:r>
      <w:r w:rsidR="00A065CF" w:rsidRPr="00762E3B">
        <w:rPr>
          <w:rFonts w:ascii="URW DIN" w:hAnsi="URW DIN"/>
          <w:sz w:val="20"/>
          <w:szCs w:val="20"/>
        </w:rPr>
        <w:t xml:space="preserve">plany w tym zakresie w perspektywie najbliższych 5 lat posiada 36,5% ankietowanych. </w:t>
      </w:r>
      <w:r w:rsidR="002352EB" w:rsidRPr="00762E3B">
        <w:rPr>
          <w:rFonts w:ascii="URW DIN" w:hAnsi="URW DIN"/>
          <w:sz w:val="20"/>
          <w:szCs w:val="20"/>
        </w:rPr>
        <w:t xml:space="preserve">Polacy oczekują ochrony pieniędzy zainwestowanych w nieruchomość – aż 85,3% </w:t>
      </w:r>
      <w:r w:rsidR="00A065CF" w:rsidRPr="00762E3B">
        <w:rPr>
          <w:rFonts w:ascii="URW DIN" w:hAnsi="URW DIN"/>
          <w:sz w:val="20"/>
          <w:szCs w:val="20"/>
        </w:rPr>
        <w:t>badanych</w:t>
      </w:r>
      <w:r w:rsidR="002352EB" w:rsidRPr="00762E3B">
        <w:rPr>
          <w:rFonts w:ascii="URW DIN" w:hAnsi="URW DIN"/>
          <w:sz w:val="20"/>
          <w:szCs w:val="20"/>
        </w:rPr>
        <w:t xml:space="preserve"> uważa, że pieniądze wpłacone na poczet zakupu domu lub mieszkania będącego w trakcie budowy powinny być objęte 100% ochroną. </w:t>
      </w:r>
      <w:r w:rsidRPr="00762E3B">
        <w:rPr>
          <w:rFonts w:ascii="URW DIN" w:hAnsi="URW DIN"/>
          <w:sz w:val="20"/>
          <w:szCs w:val="20"/>
        </w:rPr>
        <w:t>Od dziś</w:t>
      </w:r>
      <w:r w:rsidR="00DA71C6" w:rsidRPr="00762E3B">
        <w:rPr>
          <w:rFonts w:ascii="URW DIN" w:hAnsi="URW DIN"/>
          <w:sz w:val="20"/>
          <w:szCs w:val="20"/>
        </w:rPr>
        <w:t>, czyli od 1 lipca 2022 r.,</w:t>
      </w:r>
      <w:r w:rsidRPr="00762E3B">
        <w:rPr>
          <w:rFonts w:ascii="URW DIN" w:hAnsi="URW DIN"/>
          <w:sz w:val="20"/>
          <w:szCs w:val="20"/>
        </w:rPr>
        <w:t xml:space="preserve"> </w:t>
      </w:r>
      <w:r w:rsidR="006B1CA6" w:rsidRPr="00762E3B">
        <w:rPr>
          <w:rFonts w:ascii="URW DIN" w:hAnsi="URW DIN"/>
          <w:sz w:val="20"/>
          <w:szCs w:val="20"/>
        </w:rPr>
        <w:t xml:space="preserve">dzięki </w:t>
      </w:r>
      <w:r w:rsidRPr="00762E3B">
        <w:rPr>
          <w:rFonts w:ascii="URW DIN" w:hAnsi="URW DIN"/>
          <w:sz w:val="20"/>
          <w:szCs w:val="20"/>
        </w:rPr>
        <w:t>Deweloperski</w:t>
      </w:r>
      <w:r w:rsidR="006B1CA6" w:rsidRPr="00762E3B">
        <w:rPr>
          <w:rFonts w:ascii="URW DIN" w:hAnsi="URW DIN"/>
          <w:sz w:val="20"/>
          <w:szCs w:val="20"/>
        </w:rPr>
        <w:t>emu</w:t>
      </w:r>
      <w:r w:rsidRPr="00762E3B">
        <w:rPr>
          <w:rFonts w:ascii="URW DIN" w:hAnsi="URW DIN"/>
          <w:sz w:val="20"/>
          <w:szCs w:val="20"/>
        </w:rPr>
        <w:t xml:space="preserve"> Fundusz</w:t>
      </w:r>
      <w:r w:rsidR="006B1CA6" w:rsidRPr="00762E3B">
        <w:rPr>
          <w:rFonts w:ascii="URW DIN" w:hAnsi="URW DIN"/>
          <w:sz w:val="20"/>
          <w:szCs w:val="20"/>
        </w:rPr>
        <w:t xml:space="preserve">owi </w:t>
      </w:r>
      <w:r w:rsidRPr="00762E3B">
        <w:rPr>
          <w:rFonts w:ascii="URW DIN" w:hAnsi="URW DIN"/>
          <w:sz w:val="20"/>
          <w:szCs w:val="20"/>
        </w:rPr>
        <w:t>Gwarancyjn</w:t>
      </w:r>
      <w:r w:rsidR="006B1CA6" w:rsidRPr="00762E3B">
        <w:rPr>
          <w:rFonts w:ascii="URW DIN" w:hAnsi="URW DIN"/>
          <w:sz w:val="20"/>
          <w:szCs w:val="20"/>
        </w:rPr>
        <w:t>emu</w:t>
      </w:r>
      <w:r w:rsidR="00A92B5A">
        <w:rPr>
          <w:rFonts w:ascii="URW DIN" w:hAnsi="URW DIN"/>
          <w:sz w:val="20"/>
          <w:szCs w:val="20"/>
        </w:rPr>
        <w:t xml:space="preserve"> (DFG)</w:t>
      </w:r>
      <w:r w:rsidR="00920A1C" w:rsidRPr="00762E3B">
        <w:rPr>
          <w:rFonts w:ascii="URW DIN" w:hAnsi="URW DIN"/>
          <w:sz w:val="20"/>
          <w:szCs w:val="20"/>
        </w:rPr>
        <w:t>,</w:t>
      </w:r>
      <w:r w:rsidR="00ED3D7F" w:rsidRPr="00762E3B">
        <w:rPr>
          <w:rFonts w:ascii="URW DIN" w:hAnsi="URW DIN"/>
          <w:sz w:val="20"/>
          <w:szCs w:val="20"/>
        </w:rPr>
        <w:t xml:space="preserve"> nabywcy</w:t>
      </w:r>
      <w:r w:rsidR="00F97A4A" w:rsidRPr="00762E3B">
        <w:rPr>
          <w:rFonts w:ascii="URW DIN" w:hAnsi="URW DIN"/>
          <w:sz w:val="20"/>
          <w:szCs w:val="20"/>
        </w:rPr>
        <w:t xml:space="preserve"> now</w:t>
      </w:r>
      <w:r w:rsidR="00ED3D7F" w:rsidRPr="00762E3B">
        <w:rPr>
          <w:rFonts w:ascii="URW DIN" w:hAnsi="URW DIN"/>
          <w:sz w:val="20"/>
          <w:szCs w:val="20"/>
        </w:rPr>
        <w:t>ych</w:t>
      </w:r>
      <w:r w:rsidR="00F97A4A" w:rsidRPr="00762E3B">
        <w:rPr>
          <w:rFonts w:ascii="URW DIN" w:hAnsi="URW DIN"/>
          <w:sz w:val="20"/>
          <w:szCs w:val="20"/>
        </w:rPr>
        <w:t xml:space="preserve"> dom</w:t>
      </w:r>
      <w:r w:rsidR="00ED3D7F" w:rsidRPr="00762E3B">
        <w:rPr>
          <w:rFonts w:ascii="URW DIN" w:hAnsi="URW DIN"/>
          <w:sz w:val="20"/>
          <w:szCs w:val="20"/>
        </w:rPr>
        <w:t xml:space="preserve">ów </w:t>
      </w:r>
      <w:r w:rsidR="00076C20" w:rsidRPr="00762E3B">
        <w:rPr>
          <w:rFonts w:ascii="URW DIN" w:hAnsi="URW DIN"/>
          <w:sz w:val="20"/>
          <w:szCs w:val="20"/>
        </w:rPr>
        <w:t>i</w:t>
      </w:r>
      <w:r w:rsidR="00ED3D7F" w:rsidRPr="00762E3B">
        <w:rPr>
          <w:rFonts w:ascii="URW DIN" w:hAnsi="URW DIN"/>
          <w:sz w:val="20"/>
          <w:szCs w:val="20"/>
        </w:rPr>
        <w:t xml:space="preserve"> mieszkań</w:t>
      </w:r>
      <w:r w:rsidR="00F97A4A" w:rsidRPr="00762E3B">
        <w:rPr>
          <w:rFonts w:ascii="URW DIN" w:hAnsi="URW DIN"/>
          <w:sz w:val="20"/>
          <w:szCs w:val="20"/>
        </w:rPr>
        <w:t xml:space="preserve"> </w:t>
      </w:r>
      <w:r w:rsidR="00ED3D7F" w:rsidRPr="00762E3B">
        <w:rPr>
          <w:rFonts w:ascii="URW DIN" w:hAnsi="URW DIN"/>
          <w:sz w:val="20"/>
          <w:szCs w:val="20"/>
        </w:rPr>
        <w:t>z rynku pierwotnego</w:t>
      </w:r>
      <w:r w:rsidR="007F0D94" w:rsidRPr="00762E3B">
        <w:rPr>
          <w:rFonts w:ascii="URW DIN" w:hAnsi="URW DIN"/>
          <w:sz w:val="20"/>
          <w:szCs w:val="20"/>
        </w:rPr>
        <w:t xml:space="preserve"> zyskali skuteczną ochronę</w:t>
      </w:r>
      <w:r w:rsidR="00076C20" w:rsidRPr="00762E3B">
        <w:rPr>
          <w:rFonts w:ascii="URW DIN" w:hAnsi="URW DIN"/>
          <w:sz w:val="20"/>
          <w:szCs w:val="20"/>
        </w:rPr>
        <w:t>.</w:t>
      </w:r>
      <w:r w:rsidR="00680B6E" w:rsidRPr="00762E3B">
        <w:rPr>
          <w:rFonts w:ascii="URW DIN" w:hAnsi="URW DIN"/>
          <w:sz w:val="20"/>
          <w:szCs w:val="20"/>
        </w:rPr>
        <w:t xml:space="preserve"> </w:t>
      </w:r>
    </w:p>
    <w:p w14:paraId="0668E7CB" w14:textId="54FB9292" w:rsidR="005A4DF6" w:rsidRPr="00633299" w:rsidRDefault="005A4DF6" w:rsidP="00633299">
      <w:pPr>
        <w:spacing w:line="276" w:lineRule="auto"/>
        <w:jc w:val="both"/>
        <w:rPr>
          <w:rFonts w:ascii="URW DIN" w:hAnsi="URW DIN"/>
          <w:sz w:val="20"/>
          <w:szCs w:val="20"/>
        </w:rPr>
      </w:pPr>
    </w:p>
    <w:p w14:paraId="504C3E2D" w14:textId="45AF8226" w:rsidR="00633299" w:rsidRDefault="001B0CF2" w:rsidP="00633299">
      <w:pPr>
        <w:spacing w:after="240" w:line="276" w:lineRule="auto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>D</w:t>
      </w:r>
      <w:r w:rsidR="00A92B5A">
        <w:rPr>
          <w:rFonts w:ascii="URW DIN" w:hAnsi="URW DIN"/>
          <w:sz w:val="20"/>
          <w:szCs w:val="20"/>
        </w:rPr>
        <w:t xml:space="preserve">FG powstał </w:t>
      </w:r>
      <w:r w:rsidRPr="00633299">
        <w:rPr>
          <w:rFonts w:ascii="URW DIN" w:hAnsi="URW DIN"/>
          <w:sz w:val="20"/>
          <w:szCs w:val="20"/>
        </w:rPr>
        <w:t xml:space="preserve">na </w:t>
      </w:r>
      <w:r w:rsidR="002B364E" w:rsidRPr="00633299">
        <w:rPr>
          <w:rFonts w:ascii="URW DIN" w:hAnsi="URW DIN"/>
          <w:sz w:val="20"/>
          <w:szCs w:val="20"/>
        </w:rPr>
        <w:t xml:space="preserve">mocy </w:t>
      </w:r>
      <w:hyperlink r:id="rId9" w:history="1">
        <w:r w:rsidRPr="00633299">
          <w:rPr>
            <w:rStyle w:val="Hipercze"/>
            <w:rFonts w:ascii="URW DIN" w:hAnsi="URW DIN"/>
            <w:sz w:val="20"/>
            <w:szCs w:val="20"/>
          </w:rPr>
          <w:t>ustawy o ochronie praw nabywcy lokalu mieszkalnego lub domu jednorodzinnego oraz Deweloperskim Funduszu Gwarancyjnym</w:t>
        </w:r>
      </w:hyperlink>
      <w:r w:rsidRPr="00633299">
        <w:rPr>
          <w:rFonts w:ascii="URW DIN" w:hAnsi="URW DIN"/>
          <w:sz w:val="20"/>
          <w:szCs w:val="20"/>
        </w:rPr>
        <w:t xml:space="preserve">. </w:t>
      </w:r>
      <w:r w:rsidR="004F09E3">
        <w:rPr>
          <w:rFonts w:ascii="URW DIN" w:hAnsi="URW DIN"/>
          <w:sz w:val="20"/>
          <w:szCs w:val="20"/>
        </w:rPr>
        <w:t xml:space="preserve">DFG nie posiada osobowości prawnej, a jego obsługę powierzono Ubezpieczeniowemu Funduszowi Gwarancyjnemu. </w:t>
      </w:r>
    </w:p>
    <w:p w14:paraId="39921DAC" w14:textId="3DF15928" w:rsidR="004A0402" w:rsidRDefault="004A0402" w:rsidP="004A0402">
      <w:pPr>
        <w:spacing w:line="276" w:lineRule="auto"/>
        <w:jc w:val="both"/>
        <w:rPr>
          <w:rFonts w:ascii="URW DIN" w:hAnsi="URW DIN"/>
          <w:sz w:val="20"/>
          <w:szCs w:val="20"/>
        </w:rPr>
      </w:pPr>
      <w:r w:rsidRPr="006F5F03">
        <w:rPr>
          <w:rFonts w:ascii="URW DIN" w:hAnsi="URW DIN"/>
          <w:color w:val="212121"/>
          <w:sz w:val="20"/>
          <w:szCs w:val="20"/>
          <w:shd w:val="clear" w:color="auto" w:fill="FFFFFF"/>
        </w:rPr>
        <w:t>–</w:t>
      </w:r>
      <w:r w:rsidRPr="00633299">
        <w:rPr>
          <w:rFonts w:ascii="URW DIN" w:hAnsi="URW DIN"/>
          <w:sz w:val="20"/>
          <w:szCs w:val="20"/>
        </w:rPr>
        <w:t xml:space="preserve"> </w:t>
      </w:r>
      <w:r w:rsidRPr="00633299">
        <w:rPr>
          <w:rFonts w:ascii="URW DIN" w:hAnsi="URW DIN"/>
          <w:i/>
          <w:iCs/>
          <w:sz w:val="20"/>
          <w:szCs w:val="20"/>
        </w:rPr>
        <w:t>Od 1 lipca nabywcy</w:t>
      </w:r>
      <w:r w:rsidRPr="00633299">
        <w:rPr>
          <w:rFonts w:ascii="URW DIN" w:hAnsi="URW DIN"/>
          <w:sz w:val="20"/>
          <w:szCs w:val="20"/>
        </w:rPr>
        <w:t xml:space="preserve"> </w:t>
      </w:r>
      <w:r w:rsidRPr="00633299">
        <w:rPr>
          <w:rFonts w:ascii="URW DIN" w:hAnsi="URW DIN"/>
          <w:i/>
          <w:iCs/>
          <w:sz w:val="20"/>
          <w:szCs w:val="20"/>
        </w:rPr>
        <w:t>domów lub mieszkań na rynku pierwotnym są chronieni jak nigdy dotąd.</w:t>
      </w:r>
      <w:r w:rsidRPr="00633299">
        <w:rPr>
          <w:rFonts w:ascii="URW DIN" w:hAnsi="URW DIN"/>
          <w:sz w:val="20"/>
          <w:szCs w:val="20"/>
        </w:rPr>
        <w:t xml:space="preserve"> </w:t>
      </w:r>
      <w:r w:rsidRPr="00633299">
        <w:rPr>
          <w:rFonts w:ascii="URW DIN" w:hAnsi="URW DIN" w:cs="Calibri"/>
          <w:i/>
          <w:iCs/>
          <w:color w:val="212121"/>
          <w:sz w:val="20"/>
          <w:szCs w:val="20"/>
          <w:shd w:val="clear" w:color="auto" w:fill="FFFFFF"/>
        </w:rPr>
        <w:t>Deweloperski Fundusz Gwarancyjny zapewni im zwrot wszystkich zainwestowanych pieniędzy, zarówno w przypadku upadłości dewelopera, jak i banku prowadzącego mieszkaniowy rachunek powierniczy, na którym gromadzone są środki wpłacane przez klientów dewelopera. Zwrot pieniędzy z DFG będzie można uzyskać również m.in.</w:t>
      </w:r>
      <w:r>
        <w:rPr>
          <w:rFonts w:ascii="URW DIN" w:hAnsi="URW DIN" w:cs="Calibri"/>
          <w:i/>
          <w:iCs/>
          <w:color w:val="212121"/>
          <w:sz w:val="20"/>
          <w:szCs w:val="20"/>
          <w:shd w:val="clear" w:color="auto" w:fill="FFFFFF"/>
        </w:rPr>
        <w:t xml:space="preserve"> </w:t>
      </w:r>
      <w:r w:rsidR="006210B6">
        <w:rPr>
          <w:rFonts w:ascii="URW DIN" w:hAnsi="URW DIN" w:cs="Calibri"/>
          <w:i/>
          <w:iCs/>
          <w:color w:val="212121"/>
          <w:sz w:val="20"/>
          <w:szCs w:val="20"/>
          <w:shd w:val="clear" w:color="auto" w:fill="FFFFFF"/>
        </w:rPr>
        <w:br/>
      </w:r>
      <w:r w:rsidRPr="00633299">
        <w:rPr>
          <w:rFonts w:ascii="URW DIN" w:hAnsi="URW DIN" w:cs="Calibri"/>
          <w:i/>
          <w:iCs/>
          <w:color w:val="212121"/>
          <w:sz w:val="20"/>
          <w:szCs w:val="20"/>
          <w:shd w:val="clear" w:color="auto" w:fill="FFFFFF"/>
        </w:rPr>
        <w:t xml:space="preserve">w sytuacji, gdy deweloper nie przeniesie na nabywcę własności lokalu w określonym terminie lub nie usunie wad istotnych </w:t>
      </w:r>
      <w:r w:rsidRPr="00633299">
        <w:rPr>
          <w:rFonts w:ascii="URW DIN" w:hAnsi="URW DIN"/>
          <w:i/>
          <w:iCs/>
          <w:sz w:val="20"/>
          <w:szCs w:val="20"/>
        </w:rPr>
        <w:t xml:space="preserve">– </w:t>
      </w:r>
      <w:r w:rsidRPr="00633299">
        <w:rPr>
          <w:rFonts w:ascii="URW DIN" w:hAnsi="URW DIN"/>
          <w:sz w:val="20"/>
          <w:szCs w:val="20"/>
        </w:rPr>
        <w:t xml:space="preserve">mówi Małgorzata Ślepowrońska, prezes Ubezpieczeniowego Funduszu Gwarancyjnego (UFG). </w:t>
      </w:r>
    </w:p>
    <w:p w14:paraId="69FD6715" w14:textId="77777777" w:rsidR="004A0402" w:rsidRPr="00633299" w:rsidRDefault="004A0402" w:rsidP="004A0402">
      <w:pPr>
        <w:spacing w:line="276" w:lineRule="auto"/>
        <w:jc w:val="both"/>
        <w:rPr>
          <w:rFonts w:ascii="URW DIN" w:hAnsi="URW DIN"/>
          <w:sz w:val="20"/>
          <w:szCs w:val="20"/>
        </w:rPr>
      </w:pPr>
    </w:p>
    <w:p w14:paraId="2FBE9E36" w14:textId="35105140" w:rsidR="005B63AC" w:rsidRPr="00633299" w:rsidRDefault="00A92B5A" w:rsidP="0099415D">
      <w:pPr>
        <w:spacing w:after="240" w:line="276" w:lineRule="auto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i/>
          <w:iCs/>
          <w:sz w:val="20"/>
          <w:szCs w:val="20"/>
        </w:rPr>
        <w:t>–</w:t>
      </w:r>
      <w:r w:rsidR="0062398E" w:rsidRPr="00633299">
        <w:rPr>
          <w:rFonts w:ascii="URW DIN" w:hAnsi="URW DIN"/>
          <w:sz w:val="20"/>
          <w:szCs w:val="20"/>
        </w:rPr>
        <w:t xml:space="preserve"> </w:t>
      </w:r>
      <w:r w:rsidR="0062398E" w:rsidRPr="00633299">
        <w:rPr>
          <w:rFonts w:ascii="URW DIN" w:hAnsi="URW DIN"/>
          <w:i/>
          <w:sz w:val="20"/>
          <w:szCs w:val="20"/>
        </w:rPr>
        <w:t xml:space="preserve">To bardzo potrzebna i długo oczekiwana ustawa, która zwiększa bezpieczeństwo nabywców mieszkań. Każda upadłość dewelopera w trakcie trwania inwestycji może oznaczać dramat ludzi, którzy zostają bez pieniędzy </w:t>
      </w:r>
      <w:r w:rsidR="0057659B">
        <w:rPr>
          <w:rFonts w:ascii="URW DIN" w:hAnsi="URW DIN"/>
          <w:i/>
          <w:sz w:val="20"/>
          <w:szCs w:val="20"/>
        </w:rPr>
        <w:br/>
      </w:r>
      <w:r w:rsidR="0062398E" w:rsidRPr="00633299">
        <w:rPr>
          <w:rFonts w:ascii="URW DIN" w:hAnsi="URW DIN"/>
          <w:i/>
          <w:sz w:val="20"/>
          <w:szCs w:val="20"/>
        </w:rPr>
        <w:t>i bez prawa własności do mieszkania, za to z kredytem na wiele lat. Dotychczasowe przepisy nie zapewniały pełnej gwarancji odzyskania w takiej sytuacji wszystkich zainwestowanych środków</w:t>
      </w:r>
      <w:r w:rsidR="00A677FE">
        <w:rPr>
          <w:rFonts w:ascii="URW DIN" w:hAnsi="URW DIN"/>
          <w:i/>
          <w:sz w:val="20"/>
          <w:szCs w:val="20"/>
        </w:rPr>
        <w:t xml:space="preserve">. Co równie ważne, </w:t>
      </w:r>
      <w:r w:rsidR="0057659B">
        <w:rPr>
          <w:rFonts w:ascii="URW DIN" w:hAnsi="URW DIN"/>
          <w:i/>
          <w:sz w:val="20"/>
          <w:szCs w:val="20"/>
        </w:rPr>
        <w:br/>
      </w:r>
      <w:r w:rsidR="00932F03">
        <w:rPr>
          <w:rFonts w:ascii="URW DIN" w:hAnsi="URW DIN"/>
          <w:i/>
          <w:sz w:val="20"/>
          <w:szCs w:val="20"/>
        </w:rPr>
        <w:t xml:space="preserve">gdy pojawiały się kłopoty z ukończeniem budowy zgodnie z umową, </w:t>
      </w:r>
      <w:r w:rsidR="00A677FE">
        <w:rPr>
          <w:rFonts w:ascii="URW DIN" w:hAnsi="URW DIN"/>
          <w:i/>
          <w:sz w:val="20"/>
          <w:szCs w:val="20"/>
        </w:rPr>
        <w:t xml:space="preserve">konsumenci </w:t>
      </w:r>
      <w:r w:rsidR="00932F03">
        <w:rPr>
          <w:rFonts w:ascii="URW DIN" w:hAnsi="URW DIN"/>
          <w:i/>
          <w:sz w:val="20"/>
          <w:szCs w:val="20"/>
        </w:rPr>
        <w:t>byli</w:t>
      </w:r>
      <w:r w:rsidR="00A677FE">
        <w:rPr>
          <w:rFonts w:ascii="URW DIN" w:hAnsi="URW DIN"/>
          <w:i/>
          <w:sz w:val="20"/>
          <w:szCs w:val="20"/>
        </w:rPr>
        <w:t xml:space="preserve"> </w:t>
      </w:r>
      <w:r w:rsidR="00EA1144">
        <w:rPr>
          <w:rFonts w:ascii="URW DIN" w:hAnsi="URW DIN"/>
          <w:i/>
          <w:sz w:val="20"/>
          <w:szCs w:val="20"/>
        </w:rPr>
        <w:t xml:space="preserve">zbyt </w:t>
      </w:r>
      <w:r w:rsidR="00932F03">
        <w:rPr>
          <w:rFonts w:ascii="URW DIN" w:hAnsi="URW DIN"/>
          <w:i/>
          <w:sz w:val="20"/>
          <w:szCs w:val="20"/>
        </w:rPr>
        <w:t xml:space="preserve">często </w:t>
      </w:r>
      <w:r w:rsidR="00A677FE">
        <w:rPr>
          <w:rFonts w:ascii="URW DIN" w:hAnsi="URW DIN"/>
          <w:i/>
          <w:sz w:val="20"/>
          <w:szCs w:val="20"/>
        </w:rPr>
        <w:t>zdani na łaskę deweloperów</w:t>
      </w:r>
      <w:r w:rsidR="00932F03">
        <w:rPr>
          <w:rFonts w:ascii="URW DIN" w:hAnsi="URW DIN"/>
          <w:i/>
          <w:sz w:val="20"/>
          <w:szCs w:val="20"/>
        </w:rPr>
        <w:t xml:space="preserve">. Dziś ta sytuacja ulega diametralnej zmianie, bowiem </w:t>
      </w:r>
      <w:r w:rsidR="00A677FE">
        <w:rPr>
          <w:rFonts w:ascii="URW DIN" w:hAnsi="URW DIN"/>
          <w:i/>
          <w:sz w:val="20"/>
          <w:szCs w:val="20"/>
        </w:rPr>
        <w:t xml:space="preserve">pozycja prawna i ekonomiczna </w:t>
      </w:r>
      <w:r w:rsidR="00932F03">
        <w:rPr>
          <w:rFonts w:ascii="URW DIN" w:hAnsi="URW DIN"/>
          <w:i/>
          <w:sz w:val="20"/>
          <w:szCs w:val="20"/>
        </w:rPr>
        <w:t>konsumentów w sporach z deweloperami została</w:t>
      </w:r>
      <w:r w:rsidR="00A677FE">
        <w:rPr>
          <w:rFonts w:ascii="URW DIN" w:hAnsi="URW DIN"/>
          <w:i/>
          <w:sz w:val="20"/>
          <w:szCs w:val="20"/>
        </w:rPr>
        <w:t xml:space="preserve"> wzmocni</w:t>
      </w:r>
      <w:r w:rsidR="00932F03">
        <w:rPr>
          <w:rFonts w:ascii="URW DIN" w:hAnsi="URW DIN"/>
          <w:i/>
          <w:sz w:val="20"/>
          <w:szCs w:val="20"/>
        </w:rPr>
        <w:t>ona, o co od dawna zabiegaliśmy</w:t>
      </w:r>
      <w:r w:rsidR="00A677FE">
        <w:rPr>
          <w:rFonts w:ascii="URW DIN" w:hAnsi="URW DIN"/>
          <w:i/>
          <w:sz w:val="20"/>
          <w:szCs w:val="20"/>
        </w:rPr>
        <w:t xml:space="preserve"> </w:t>
      </w:r>
      <w:r w:rsidR="0062398E" w:rsidRPr="00633299">
        <w:rPr>
          <w:rFonts w:ascii="URW DIN" w:hAnsi="URW DIN"/>
          <w:i/>
          <w:sz w:val="20"/>
          <w:szCs w:val="20"/>
        </w:rPr>
        <w:t xml:space="preserve"> </w:t>
      </w:r>
      <w:r w:rsidR="0062398E" w:rsidRPr="00633299">
        <w:rPr>
          <w:rFonts w:ascii="URW DIN" w:hAnsi="URW DIN"/>
          <w:sz w:val="20"/>
          <w:szCs w:val="20"/>
        </w:rPr>
        <w:t>– mówi Tomasz Chróstny, prezes Urzędu Ochrony Konkurencji i Konsumentów</w:t>
      </w:r>
      <w:r w:rsidR="00596F51" w:rsidRPr="00633299">
        <w:rPr>
          <w:rFonts w:ascii="URW DIN" w:hAnsi="URW DIN"/>
          <w:sz w:val="20"/>
          <w:szCs w:val="20"/>
        </w:rPr>
        <w:t xml:space="preserve"> (UOKiK)</w:t>
      </w:r>
      <w:r w:rsidR="0062398E" w:rsidRPr="00633299">
        <w:rPr>
          <w:rFonts w:ascii="URW DIN" w:hAnsi="URW DIN"/>
          <w:sz w:val="20"/>
          <w:szCs w:val="20"/>
        </w:rPr>
        <w:t>.</w:t>
      </w:r>
    </w:p>
    <w:p w14:paraId="23A37593" w14:textId="1C1E28D6" w:rsidR="00EA1144" w:rsidRDefault="0062398E" w:rsidP="00267E62">
      <w:pPr>
        <w:spacing w:line="276" w:lineRule="auto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>Inicjatorem zmian prawnych, które doprowadziły do utworzenia DFG</w:t>
      </w:r>
      <w:r w:rsidR="00596F51" w:rsidRPr="00633299">
        <w:rPr>
          <w:rFonts w:ascii="URW DIN" w:hAnsi="URW DIN"/>
          <w:sz w:val="20"/>
          <w:szCs w:val="20"/>
        </w:rPr>
        <w:t xml:space="preserve">, był UOKiK. </w:t>
      </w:r>
      <w:r w:rsidR="005B63AC" w:rsidRPr="00633299">
        <w:rPr>
          <w:rFonts w:ascii="URW DIN" w:hAnsi="URW DIN"/>
          <w:sz w:val="20"/>
          <w:szCs w:val="20"/>
        </w:rPr>
        <w:t>Natomiast za zarządz</w:t>
      </w:r>
      <w:r w:rsidR="00267E62">
        <w:rPr>
          <w:rFonts w:ascii="URW DIN" w:hAnsi="URW DIN"/>
          <w:sz w:val="20"/>
          <w:szCs w:val="20"/>
        </w:rPr>
        <w:t>a</w:t>
      </w:r>
      <w:r w:rsidR="005B63AC" w:rsidRPr="00633299">
        <w:rPr>
          <w:rFonts w:ascii="URW DIN" w:hAnsi="URW DIN"/>
          <w:sz w:val="20"/>
          <w:szCs w:val="20"/>
        </w:rPr>
        <w:t xml:space="preserve">nie </w:t>
      </w:r>
      <w:r w:rsidR="000C74B5" w:rsidRPr="00633299">
        <w:rPr>
          <w:rFonts w:ascii="URW DIN" w:hAnsi="URW DIN"/>
          <w:sz w:val="20"/>
          <w:szCs w:val="20"/>
        </w:rPr>
        <w:t>f</w:t>
      </w:r>
      <w:r w:rsidR="005B63AC" w:rsidRPr="00633299">
        <w:rPr>
          <w:rFonts w:ascii="URW DIN" w:hAnsi="URW DIN"/>
          <w:sz w:val="20"/>
          <w:szCs w:val="20"/>
        </w:rPr>
        <w:t xml:space="preserve">unduszem odpowiada </w:t>
      </w:r>
      <w:r w:rsidR="006A2D71" w:rsidRPr="00633299">
        <w:rPr>
          <w:rFonts w:ascii="URW DIN" w:hAnsi="URW DIN"/>
          <w:sz w:val="20"/>
          <w:szCs w:val="20"/>
        </w:rPr>
        <w:t xml:space="preserve">UFG. </w:t>
      </w:r>
      <w:r w:rsidR="00A92B5A" w:rsidRPr="00633299">
        <w:rPr>
          <w:rFonts w:ascii="URW DIN" w:hAnsi="URW DIN"/>
          <w:i/>
          <w:iCs/>
          <w:sz w:val="20"/>
          <w:szCs w:val="20"/>
        </w:rPr>
        <w:t>–</w:t>
      </w:r>
      <w:r w:rsidR="006A2D71" w:rsidRPr="00633299">
        <w:rPr>
          <w:rFonts w:ascii="URW DIN" w:hAnsi="URW DIN"/>
          <w:sz w:val="20"/>
          <w:szCs w:val="20"/>
        </w:rPr>
        <w:t xml:space="preserve"> </w:t>
      </w:r>
      <w:r w:rsidR="006A2D71" w:rsidRPr="00633299">
        <w:rPr>
          <w:rFonts w:ascii="URW DIN" w:hAnsi="URW DIN"/>
          <w:i/>
          <w:iCs/>
          <w:sz w:val="20"/>
          <w:szCs w:val="20"/>
        </w:rPr>
        <w:t xml:space="preserve">Posiadamy bogate doświadczenie w </w:t>
      </w:r>
      <w:r w:rsidR="00267E62">
        <w:rPr>
          <w:rFonts w:ascii="URW DIN" w:hAnsi="URW DIN"/>
          <w:i/>
          <w:iCs/>
          <w:sz w:val="20"/>
          <w:szCs w:val="20"/>
        </w:rPr>
        <w:t>zarządzaniu</w:t>
      </w:r>
      <w:r w:rsidR="006A2D71" w:rsidRPr="00633299">
        <w:rPr>
          <w:rFonts w:ascii="URW DIN" w:hAnsi="URW DIN"/>
          <w:i/>
          <w:iCs/>
          <w:sz w:val="20"/>
          <w:szCs w:val="20"/>
        </w:rPr>
        <w:t xml:space="preserve"> funduszami służącymi ochronie interesów ekonomicznych obywateli. Zarządzamy Ubezpieczeniowym Funduszem Gwarancyjnym, który wspiera poszkodowanych w kolizjach i wypadkach drogowych spowodowanych przez nieubezpieczonych lub nieustalonych sprawców, Turystycznym Funduszem Gwarancyjnym, który gwarantuje podróżnym zwrot środków</w:t>
      </w:r>
      <w:r w:rsidR="00267E62">
        <w:rPr>
          <w:rFonts w:ascii="URW DIN" w:hAnsi="URW DIN"/>
          <w:i/>
          <w:iCs/>
          <w:sz w:val="20"/>
          <w:szCs w:val="20"/>
        </w:rPr>
        <w:t xml:space="preserve"> za</w:t>
      </w:r>
      <w:r w:rsidR="006A2D71" w:rsidRPr="00633299">
        <w:rPr>
          <w:rFonts w:ascii="URW DIN" w:hAnsi="URW DIN"/>
          <w:i/>
          <w:iCs/>
          <w:sz w:val="20"/>
          <w:szCs w:val="20"/>
        </w:rPr>
        <w:t xml:space="preserve"> wycieczki</w:t>
      </w:r>
      <w:r w:rsidR="00C87E63">
        <w:rPr>
          <w:rFonts w:ascii="URW DIN" w:hAnsi="URW DIN"/>
          <w:i/>
          <w:iCs/>
          <w:sz w:val="20"/>
          <w:szCs w:val="20"/>
        </w:rPr>
        <w:t xml:space="preserve"> </w:t>
      </w:r>
      <w:r w:rsidR="00C87E63" w:rsidRPr="00633299">
        <w:rPr>
          <w:rFonts w:ascii="URW DIN" w:hAnsi="URW DIN"/>
          <w:i/>
          <w:iCs/>
          <w:sz w:val="20"/>
          <w:szCs w:val="20"/>
        </w:rPr>
        <w:t>niezrealizowane z powodu niewypłacalności organizatora</w:t>
      </w:r>
      <w:r w:rsidR="006A2D71" w:rsidRPr="00633299">
        <w:rPr>
          <w:rFonts w:ascii="URW DIN" w:hAnsi="URW DIN"/>
          <w:i/>
          <w:iCs/>
          <w:sz w:val="20"/>
          <w:szCs w:val="20"/>
        </w:rPr>
        <w:t xml:space="preserve">, </w:t>
      </w:r>
      <w:r w:rsidR="00C87E63">
        <w:rPr>
          <w:rFonts w:ascii="URW DIN" w:hAnsi="URW DIN"/>
          <w:i/>
          <w:iCs/>
          <w:sz w:val="20"/>
          <w:szCs w:val="20"/>
        </w:rPr>
        <w:t>a także Turystycznym Funduszem Pomocowym, zapewniającym wsparcie podróżnych i organizatorów turystyki na wypadek nagłych i nieprzewidzianych okoliczności</w:t>
      </w:r>
      <w:r w:rsidR="006A2D71" w:rsidRPr="00633299">
        <w:rPr>
          <w:rFonts w:ascii="URW DIN" w:hAnsi="URW DIN"/>
          <w:i/>
          <w:iCs/>
          <w:sz w:val="20"/>
          <w:szCs w:val="20"/>
        </w:rPr>
        <w:t xml:space="preserve">. DFG będzie więc </w:t>
      </w:r>
      <w:r w:rsidR="000D378E">
        <w:rPr>
          <w:rFonts w:ascii="URW DIN" w:hAnsi="URW DIN"/>
          <w:i/>
          <w:iCs/>
          <w:sz w:val="20"/>
          <w:szCs w:val="20"/>
        </w:rPr>
        <w:t>kolejnym</w:t>
      </w:r>
      <w:r w:rsidR="006A2D71" w:rsidRPr="00633299">
        <w:rPr>
          <w:rFonts w:ascii="URW DIN" w:hAnsi="URW DIN"/>
          <w:i/>
          <w:iCs/>
          <w:sz w:val="20"/>
          <w:szCs w:val="20"/>
        </w:rPr>
        <w:t xml:space="preserve"> </w:t>
      </w:r>
      <w:r w:rsidR="00C87E63">
        <w:rPr>
          <w:rFonts w:ascii="URW DIN" w:hAnsi="URW DIN"/>
          <w:i/>
          <w:iCs/>
          <w:sz w:val="20"/>
          <w:szCs w:val="20"/>
        </w:rPr>
        <w:t xml:space="preserve">ważnym </w:t>
      </w:r>
      <w:r w:rsidR="006A2D71" w:rsidRPr="00633299">
        <w:rPr>
          <w:rFonts w:ascii="URW DIN" w:hAnsi="URW DIN"/>
          <w:i/>
          <w:iCs/>
          <w:sz w:val="20"/>
          <w:szCs w:val="20"/>
        </w:rPr>
        <w:t>funduszem</w:t>
      </w:r>
      <w:r w:rsidR="00267E62">
        <w:rPr>
          <w:rFonts w:ascii="URW DIN" w:hAnsi="URW DIN"/>
          <w:i/>
          <w:iCs/>
          <w:sz w:val="20"/>
          <w:szCs w:val="20"/>
        </w:rPr>
        <w:t xml:space="preserve">, który obsługujemy </w:t>
      </w:r>
      <w:r w:rsidR="005B63AC" w:rsidRPr="00633299">
        <w:rPr>
          <w:rFonts w:ascii="URW DIN" w:hAnsi="URW DIN"/>
          <w:sz w:val="20"/>
          <w:szCs w:val="20"/>
        </w:rPr>
        <w:t xml:space="preserve">– </w:t>
      </w:r>
      <w:r w:rsidR="00C87E63">
        <w:rPr>
          <w:rFonts w:ascii="URW DIN" w:hAnsi="URW DIN"/>
          <w:sz w:val="20"/>
          <w:szCs w:val="20"/>
        </w:rPr>
        <w:t>wyjaśnia</w:t>
      </w:r>
      <w:r w:rsidR="005B63AC" w:rsidRPr="00633299">
        <w:rPr>
          <w:rFonts w:ascii="URW DIN" w:hAnsi="URW DIN"/>
          <w:sz w:val="20"/>
          <w:szCs w:val="20"/>
        </w:rPr>
        <w:t xml:space="preserve"> prezes UFG.</w:t>
      </w:r>
    </w:p>
    <w:p w14:paraId="4C115349" w14:textId="77777777" w:rsidR="00267E62" w:rsidRPr="00267E62" w:rsidRDefault="00267E62" w:rsidP="00267E62">
      <w:pPr>
        <w:spacing w:line="276" w:lineRule="auto"/>
        <w:jc w:val="both"/>
        <w:rPr>
          <w:rFonts w:ascii="URW DIN" w:hAnsi="URW DIN"/>
          <w:sz w:val="20"/>
          <w:szCs w:val="20"/>
        </w:rPr>
      </w:pPr>
    </w:p>
    <w:p w14:paraId="1BF76F5B" w14:textId="77777777" w:rsidR="006823CB" w:rsidRDefault="00633299" w:rsidP="006823CB">
      <w:pPr>
        <w:spacing w:after="240" w:line="276" w:lineRule="auto"/>
        <w:jc w:val="both"/>
        <w:outlineLvl w:val="2"/>
        <w:rPr>
          <w:rFonts w:ascii="URW DIN" w:hAnsi="URW DIN" w:cs="Tahoma"/>
          <w:b/>
          <w:bCs/>
          <w:sz w:val="20"/>
          <w:szCs w:val="20"/>
          <w:lang w:eastAsia="pl-PL"/>
        </w:rPr>
      </w:pPr>
      <w:r>
        <w:rPr>
          <w:rFonts w:ascii="URW DIN" w:hAnsi="URW DIN" w:cs="Tahoma"/>
          <w:b/>
          <w:bCs/>
          <w:sz w:val="20"/>
          <w:szCs w:val="20"/>
          <w:lang w:eastAsia="pl-PL"/>
        </w:rPr>
        <w:t xml:space="preserve">Czym jest </w:t>
      </w:r>
      <w:r w:rsidR="00596F51" w:rsidRPr="00633299">
        <w:rPr>
          <w:rFonts w:ascii="URW DIN" w:hAnsi="URW DIN" w:cs="Tahoma"/>
          <w:b/>
          <w:bCs/>
          <w:sz w:val="20"/>
          <w:szCs w:val="20"/>
          <w:lang w:eastAsia="pl-PL"/>
        </w:rPr>
        <w:t>Deweloperski Fundusz Gwarancyjny</w:t>
      </w:r>
      <w:r>
        <w:rPr>
          <w:rFonts w:ascii="URW DIN" w:hAnsi="URW DIN" w:cs="Tahoma"/>
          <w:b/>
          <w:bCs/>
          <w:sz w:val="20"/>
          <w:szCs w:val="20"/>
          <w:lang w:eastAsia="pl-PL"/>
        </w:rPr>
        <w:t>?</w:t>
      </w:r>
    </w:p>
    <w:p w14:paraId="3DF9AC42" w14:textId="72FE2C53" w:rsidR="00596F51" w:rsidRPr="006823CB" w:rsidRDefault="00596F51" w:rsidP="006823CB">
      <w:pPr>
        <w:spacing w:after="240" w:line="276" w:lineRule="auto"/>
        <w:jc w:val="both"/>
        <w:outlineLvl w:val="2"/>
        <w:rPr>
          <w:rFonts w:ascii="URW DIN" w:hAnsi="URW DIN" w:cs="Tahoma"/>
          <w:b/>
          <w:bCs/>
          <w:sz w:val="20"/>
          <w:szCs w:val="20"/>
          <w:lang w:eastAsia="pl-PL"/>
        </w:rPr>
      </w:pPr>
      <w:r w:rsidRPr="00633299">
        <w:rPr>
          <w:rFonts w:ascii="URW DIN" w:hAnsi="URW DIN"/>
          <w:sz w:val="20"/>
          <w:szCs w:val="20"/>
        </w:rPr>
        <w:t xml:space="preserve">Deweloperzy gromadzą wpłaty klientów na mieszkaniowych rachunkach powierniczych (MRP). Mogą być one zamknięte lub otwarte. W pierwszym przypadku </w:t>
      </w:r>
      <w:r w:rsidRPr="00633299">
        <w:rPr>
          <w:rFonts w:ascii="URW DIN" w:hAnsi="URW DIN" w:cs="Tahoma"/>
          <w:sz w:val="20"/>
          <w:szCs w:val="20"/>
          <w:lang w:eastAsia="pl-PL"/>
        </w:rPr>
        <w:t xml:space="preserve">bank wypłaca przedsiębiorcy pieniądze dopiero po przeniesieniu własności mieszkania na nabywcę. Na rynku dominują jednak </w:t>
      </w:r>
      <w:r w:rsidRPr="00633299">
        <w:rPr>
          <w:rFonts w:ascii="URW DIN" w:hAnsi="URW DIN"/>
          <w:sz w:val="20"/>
          <w:szCs w:val="20"/>
        </w:rPr>
        <w:t xml:space="preserve">otwarte MRP, czyli takie z których środki trafiają do dewelopera stopniowo, zgodnie z harmonogramem prac na budowie. Dla konsumenta do tej pory oznaczało to realne ryzyko straty w sytuacji, gdy firma przerwie budowę lub upadnie, a bank przekazał jej już środki z takiego rachunku. </w:t>
      </w:r>
    </w:p>
    <w:p w14:paraId="2E52230A" w14:textId="7710CB1C" w:rsidR="00596F51" w:rsidRPr="00633299" w:rsidRDefault="00596F51" w:rsidP="00633299">
      <w:pPr>
        <w:spacing w:after="100" w:afterAutospacing="1" w:line="276" w:lineRule="auto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>Zagrożeniem dla klienta mogła być także upadłość banku</w:t>
      </w:r>
      <w:r w:rsidR="00267E62">
        <w:rPr>
          <w:rFonts w:ascii="URW DIN" w:hAnsi="URW DIN"/>
          <w:sz w:val="20"/>
          <w:szCs w:val="20"/>
        </w:rPr>
        <w:t xml:space="preserve"> prowadzącego</w:t>
      </w:r>
      <w:r w:rsidRPr="00633299">
        <w:rPr>
          <w:rFonts w:ascii="URW DIN" w:hAnsi="URW DIN"/>
          <w:sz w:val="20"/>
          <w:szCs w:val="20"/>
        </w:rPr>
        <w:t xml:space="preserve"> MRP. Kwoty do 100 tys. euro są gwarantowane przez Bankowy Fundusz Gwarancyjny, ale mieszkania bywają</w:t>
      </w:r>
      <w:r w:rsidR="00267E62">
        <w:rPr>
          <w:rFonts w:ascii="URW DIN" w:hAnsi="URW DIN"/>
          <w:sz w:val="20"/>
          <w:szCs w:val="20"/>
        </w:rPr>
        <w:t xml:space="preserve"> przecież</w:t>
      </w:r>
      <w:r w:rsidRPr="00633299">
        <w:rPr>
          <w:rFonts w:ascii="URW DIN" w:hAnsi="URW DIN"/>
          <w:sz w:val="20"/>
          <w:szCs w:val="20"/>
        </w:rPr>
        <w:t xml:space="preserve"> droższe. Poza tym gwarancja BFG obejmuje łącznie wszystkie pieniądze konsumenta w danym banku, także zgromadzone na koncie osobistym czy lokatach. W związku z tym nawet w przypadku zamkniętego MRP klient dewelopera może nie odzyskać całej sumy. </w:t>
      </w:r>
    </w:p>
    <w:p w14:paraId="2016FFEA" w14:textId="77777777" w:rsidR="00596F51" w:rsidRPr="00633299" w:rsidRDefault="00596F51" w:rsidP="00633299">
      <w:pPr>
        <w:spacing w:after="100" w:afterAutospacing="1" w:line="276" w:lineRule="auto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 w:cs="Tahoma"/>
          <w:sz w:val="20"/>
          <w:szCs w:val="20"/>
          <w:lang w:eastAsia="pl-PL"/>
        </w:rPr>
        <w:t xml:space="preserve">Nowa ustawa wprowadziła </w:t>
      </w:r>
      <w:r w:rsidRPr="00633299">
        <w:rPr>
          <w:rFonts w:ascii="URW DIN" w:hAnsi="URW DIN"/>
          <w:bCs/>
          <w:sz w:val="20"/>
          <w:szCs w:val="20"/>
        </w:rPr>
        <w:t>Deweloperski Fundusz Gwarancyjny</w:t>
      </w:r>
      <w:r w:rsidRPr="00633299">
        <w:rPr>
          <w:rFonts w:ascii="URW DIN" w:hAnsi="URW DIN"/>
          <w:sz w:val="20"/>
          <w:szCs w:val="20"/>
        </w:rPr>
        <w:t>,</w:t>
      </w:r>
      <w:r w:rsidRPr="00633299">
        <w:rPr>
          <w:rFonts w:ascii="URW DIN" w:hAnsi="URW DIN" w:cs="Tahoma"/>
          <w:sz w:val="20"/>
          <w:szCs w:val="20"/>
          <w:lang w:eastAsia="pl-PL"/>
        </w:rPr>
        <w:t xml:space="preserve"> który będzie </w:t>
      </w:r>
      <w:r w:rsidRPr="00633299">
        <w:rPr>
          <w:rFonts w:ascii="URW DIN" w:hAnsi="URW DIN"/>
          <w:sz w:val="20"/>
          <w:szCs w:val="20"/>
        </w:rPr>
        <w:t xml:space="preserve">zabezpieczeniem dla środków nabywcy zgromadzonych na tych rachunkach. Deweloperzy będą odprowadzać na niego składki od wpłat klientów na MRP. Wysokość stawek procentowych ustalił w rozporządzeniu minister rozwoju i technologii – będzie to 0,45 proc. w przypadku otwartych MRP i 0,1 proc. w przypadku zamkniętych MRP. </w:t>
      </w:r>
    </w:p>
    <w:p w14:paraId="2027D222" w14:textId="3AE8E246" w:rsidR="008A15DA" w:rsidRPr="003174CA" w:rsidRDefault="00A92B5A" w:rsidP="003174CA">
      <w:pPr>
        <w:spacing w:after="240" w:line="276" w:lineRule="auto"/>
        <w:jc w:val="both"/>
        <w:rPr>
          <w:rFonts w:ascii="URW DIN" w:hAnsi="URW DIN"/>
          <w:i/>
          <w:sz w:val="20"/>
          <w:szCs w:val="20"/>
        </w:rPr>
      </w:pPr>
      <w:r w:rsidRPr="00633299">
        <w:rPr>
          <w:rFonts w:ascii="URW DIN" w:hAnsi="URW DIN"/>
          <w:i/>
          <w:iCs/>
          <w:sz w:val="20"/>
          <w:szCs w:val="20"/>
        </w:rPr>
        <w:t>–</w:t>
      </w:r>
      <w:r w:rsidR="00596F51" w:rsidRPr="00633299">
        <w:rPr>
          <w:rFonts w:ascii="URW DIN" w:hAnsi="URW DIN"/>
          <w:i/>
          <w:sz w:val="20"/>
          <w:szCs w:val="20"/>
        </w:rPr>
        <w:t xml:space="preserve"> Dla otwartego rachunku powierniczego przy mieszkaniu o wartości 500 tys. zł koszt ochrony to 2250 zł przy założeniu składki na poziomie 0,45 proc. </w:t>
      </w:r>
      <w:r w:rsidR="00EA1144">
        <w:rPr>
          <w:rFonts w:ascii="URW DIN" w:hAnsi="URW DIN"/>
          <w:i/>
          <w:sz w:val="20"/>
          <w:szCs w:val="20"/>
        </w:rPr>
        <w:t>Zatem</w:t>
      </w:r>
      <w:r w:rsidR="00596F51" w:rsidRPr="00633299">
        <w:rPr>
          <w:rFonts w:ascii="URW DIN" w:hAnsi="URW DIN"/>
          <w:i/>
          <w:sz w:val="20"/>
          <w:szCs w:val="20"/>
        </w:rPr>
        <w:t xml:space="preserve"> w cenie lodówki konsument uzyskuje gwarancję odzyskania wszystkich wpłat w kryzysowej sytuacji, ochronę często oszczędności całego życia </w:t>
      </w:r>
      <w:r w:rsidRPr="00633299">
        <w:rPr>
          <w:rFonts w:ascii="URW DIN" w:hAnsi="URW DIN"/>
          <w:i/>
          <w:iCs/>
          <w:sz w:val="20"/>
          <w:szCs w:val="20"/>
        </w:rPr>
        <w:t>–</w:t>
      </w:r>
      <w:r w:rsidR="00596F51" w:rsidRPr="00633299">
        <w:rPr>
          <w:rFonts w:ascii="URW DIN" w:hAnsi="URW DIN"/>
          <w:i/>
          <w:sz w:val="20"/>
          <w:szCs w:val="20"/>
        </w:rPr>
        <w:t xml:space="preserve"> </w:t>
      </w:r>
      <w:r w:rsidR="00596F51" w:rsidRPr="00633299">
        <w:rPr>
          <w:rFonts w:ascii="URW DIN" w:hAnsi="URW DIN"/>
          <w:sz w:val="20"/>
          <w:szCs w:val="20"/>
        </w:rPr>
        <w:t xml:space="preserve">mówi Tomasz Chróstny, </w:t>
      </w:r>
      <w:r w:rsidR="007F3B50">
        <w:rPr>
          <w:rFonts w:ascii="URW DIN" w:hAnsi="URW DIN"/>
          <w:sz w:val="20"/>
          <w:szCs w:val="20"/>
        </w:rPr>
        <w:t>p</w:t>
      </w:r>
      <w:r w:rsidR="00596F51" w:rsidRPr="00633299">
        <w:rPr>
          <w:rFonts w:ascii="URW DIN" w:hAnsi="URW DIN"/>
          <w:sz w:val="20"/>
          <w:szCs w:val="20"/>
        </w:rPr>
        <w:t>rezes UOKiK</w:t>
      </w:r>
      <w:r w:rsidR="00596F51" w:rsidRPr="00633299">
        <w:rPr>
          <w:rFonts w:ascii="URW DIN" w:hAnsi="URW DIN"/>
          <w:i/>
          <w:sz w:val="20"/>
          <w:szCs w:val="20"/>
        </w:rPr>
        <w:t>.</w:t>
      </w:r>
    </w:p>
    <w:p w14:paraId="0D1970D5" w14:textId="77777777" w:rsidR="008A15DA" w:rsidRPr="00EC317A" w:rsidRDefault="008A15DA" w:rsidP="008A15DA">
      <w:pPr>
        <w:pStyle w:val="Akapitzlist"/>
        <w:spacing w:line="276" w:lineRule="auto"/>
        <w:jc w:val="both"/>
        <w:rPr>
          <w:rFonts w:ascii="URW DIN" w:hAnsi="URW DIN"/>
          <w:sz w:val="20"/>
          <w:szCs w:val="20"/>
          <w:u w:val="single"/>
        </w:rPr>
      </w:pPr>
      <w:r w:rsidRPr="00EC317A">
        <w:rPr>
          <w:rFonts w:ascii="URW DIN" w:hAnsi="URW DIN"/>
          <w:sz w:val="20"/>
          <w:szCs w:val="20"/>
          <w:u w:val="single"/>
        </w:rPr>
        <w:t>Zwrot wpłaconych na zakup mieszkania lub domu środków będzie możliwy w przypadku:</w:t>
      </w:r>
    </w:p>
    <w:p w14:paraId="240A4F3B" w14:textId="77777777" w:rsidR="008A15DA" w:rsidRPr="00633299" w:rsidRDefault="008A15DA" w:rsidP="008A15DA">
      <w:pPr>
        <w:pStyle w:val="Akapitzlist"/>
        <w:numPr>
          <w:ilvl w:val="1"/>
          <w:numId w:val="2"/>
        </w:numPr>
        <w:spacing w:line="276" w:lineRule="auto"/>
        <w:ind w:left="709" w:hanging="283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>upadłości dewelopera i zaprzestania kontynuowania inwestycji,</w:t>
      </w:r>
    </w:p>
    <w:p w14:paraId="3A8E5896" w14:textId="77777777" w:rsidR="008A15DA" w:rsidRPr="00633299" w:rsidRDefault="008A15DA" w:rsidP="008A15DA">
      <w:pPr>
        <w:pStyle w:val="Akapitzlist"/>
        <w:numPr>
          <w:ilvl w:val="1"/>
          <w:numId w:val="2"/>
        </w:numPr>
        <w:spacing w:line="276" w:lineRule="auto"/>
        <w:ind w:left="709" w:hanging="283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>odstąpienia przez syndyka lub zarządcy od umowy zawartej z klientem,</w:t>
      </w:r>
    </w:p>
    <w:p w14:paraId="01E93748" w14:textId="0F7AEF5E" w:rsidR="008A15DA" w:rsidRPr="00633299" w:rsidRDefault="008A15DA" w:rsidP="008A15DA">
      <w:pPr>
        <w:pStyle w:val="Akapitzlist"/>
        <w:numPr>
          <w:ilvl w:val="1"/>
          <w:numId w:val="2"/>
        </w:numPr>
        <w:spacing w:line="276" w:lineRule="auto"/>
        <w:ind w:left="709" w:hanging="283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>upadłości banku prowadzącego mieszkaniowy rachunek powierniczy i niepokrycia całości środków zgromadzonych na tym rachunku przez Bankowy Fundusz Gwarancyjny, który zapewnia zwrot do 100 tys. euro za wszystkie środki danego klienta w konkretnym banku</w:t>
      </w:r>
      <w:r w:rsidR="003174CA">
        <w:rPr>
          <w:rFonts w:ascii="URW DIN" w:hAnsi="URW DIN"/>
          <w:sz w:val="20"/>
          <w:szCs w:val="20"/>
        </w:rPr>
        <w:t>,</w:t>
      </w:r>
      <w:r w:rsidRPr="00633299">
        <w:rPr>
          <w:rFonts w:ascii="URW DIN" w:hAnsi="URW DIN"/>
          <w:sz w:val="20"/>
          <w:szCs w:val="20"/>
        </w:rPr>
        <w:t xml:space="preserve"> łącznie m.in. z jego prywatnymi lokatami,</w:t>
      </w:r>
    </w:p>
    <w:p w14:paraId="22AF3834" w14:textId="02F599B1" w:rsidR="006F2872" w:rsidRPr="006823CB" w:rsidRDefault="008A15DA" w:rsidP="00633299">
      <w:pPr>
        <w:pStyle w:val="Akapitzlist"/>
        <w:numPr>
          <w:ilvl w:val="1"/>
          <w:numId w:val="2"/>
        </w:numPr>
        <w:spacing w:line="276" w:lineRule="auto"/>
        <w:ind w:left="709" w:hanging="283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>odstąpienia od umowy przez nabywcę (np. gdy deweloper nie przeniesie na nabywcę własności lokalu w określonym terminie lub nie usunie wady istotnej), o ile klient nie uzyskał wcześniej zwrotu środków.</w:t>
      </w:r>
      <w:r w:rsidR="006823CB">
        <w:rPr>
          <w:rFonts w:ascii="URW DIN" w:hAnsi="URW DIN"/>
          <w:sz w:val="20"/>
          <w:szCs w:val="20"/>
        </w:rPr>
        <w:br/>
      </w:r>
    </w:p>
    <w:p w14:paraId="70D29B0F" w14:textId="287851FF" w:rsidR="00EC317A" w:rsidRPr="00633299" w:rsidRDefault="006F2872" w:rsidP="00633299">
      <w:pPr>
        <w:spacing w:line="276" w:lineRule="auto"/>
        <w:jc w:val="both"/>
        <w:rPr>
          <w:rFonts w:ascii="URW DIN" w:hAnsi="URW DIN"/>
          <w:b/>
          <w:bCs/>
          <w:sz w:val="20"/>
          <w:szCs w:val="20"/>
        </w:rPr>
      </w:pPr>
      <w:r w:rsidRPr="00633299">
        <w:rPr>
          <w:rFonts w:ascii="URW DIN" w:hAnsi="URW DIN"/>
          <w:b/>
          <w:bCs/>
          <w:sz w:val="20"/>
          <w:szCs w:val="20"/>
        </w:rPr>
        <w:t xml:space="preserve">Kogo </w:t>
      </w:r>
      <w:r w:rsidR="009C43AD" w:rsidRPr="00633299">
        <w:rPr>
          <w:rFonts w:ascii="URW DIN" w:hAnsi="URW DIN"/>
          <w:b/>
          <w:bCs/>
          <w:sz w:val="20"/>
          <w:szCs w:val="20"/>
        </w:rPr>
        <w:t>chroni</w:t>
      </w:r>
      <w:r w:rsidRPr="00633299">
        <w:rPr>
          <w:rFonts w:ascii="URW DIN" w:hAnsi="URW DIN"/>
          <w:b/>
          <w:bCs/>
          <w:sz w:val="20"/>
          <w:szCs w:val="20"/>
        </w:rPr>
        <w:t xml:space="preserve"> </w:t>
      </w:r>
      <w:r w:rsidR="009C43AD" w:rsidRPr="00633299">
        <w:rPr>
          <w:rFonts w:ascii="URW DIN" w:hAnsi="URW DIN"/>
          <w:b/>
          <w:bCs/>
          <w:sz w:val="20"/>
          <w:szCs w:val="20"/>
        </w:rPr>
        <w:t>DFG</w:t>
      </w:r>
      <w:r w:rsidRPr="00633299">
        <w:rPr>
          <w:rFonts w:ascii="URW DIN" w:hAnsi="URW DIN"/>
          <w:b/>
          <w:bCs/>
          <w:sz w:val="20"/>
          <w:szCs w:val="20"/>
        </w:rPr>
        <w:t>?</w:t>
      </w:r>
    </w:p>
    <w:p w14:paraId="6FBF9C56" w14:textId="164B9E3D" w:rsidR="00EC317A" w:rsidRDefault="001B0CF2" w:rsidP="00633299">
      <w:pPr>
        <w:spacing w:line="276" w:lineRule="auto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 xml:space="preserve">Ochrona </w:t>
      </w:r>
      <w:r w:rsidR="003D6C72" w:rsidRPr="00633299">
        <w:rPr>
          <w:rFonts w:ascii="URW DIN" w:hAnsi="URW DIN"/>
          <w:sz w:val="20"/>
          <w:szCs w:val="20"/>
        </w:rPr>
        <w:t xml:space="preserve">Deweloperskiego Funduszu Gwarancyjnego </w:t>
      </w:r>
      <w:r w:rsidRPr="00633299">
        <w:rPr>
          <w:rFonts w:ascii="URW DIN" w:hAnsi="URW DIN"/>
          <w:sz w:val="20"/>
          <w:szCs w:val="20"/>
        </w:rPr>
        <w:t xml:space="preserve">będzie obejmowała nabywców mieszkań i domów </w:t>
      </w:r>
      <w:r w:rsidR="003174CA">
        <w:rPr>
          <w:rFonts w:ascii="URW DIN" w:hAnsi="URW DIN"/>
          <w:sz w:val="20"/>
          <w:szCs w:val="20"/>
        </w:rPr>
        <w:br/>
      </w:r>
      <w:r w:rsidRPr="00633299">
        <w:rPr>
          <w:rFonts w:ascii="URW DIN" w:hAnsi="URW DIN"/>
          <w:sz w:val="20"/>
          <w:szCs w:val="20"/>
        </w:rPr>
        <w:t>na rynku pierwotnym</w:t>
      </w:r>
      <w:r w:rsidR="005937EE" w:rsidRPr="00633299">
        <w:rPr>
          <w:rFonts w:ascii="URW DIN" w:hAnsi="URW DIN"/>
          <w:sz w:val="20"/>
          <w:szCs w:val="20"/>
        </w:rPr>
        <w:t>.</w:t>
      </w:r>
      <w:r w:rsidRPr="00633299">
        <w:rPr>
          <w:rFonts w:ascii="URW DIN" w:hAnsi="URW DIN"/>
          <w:sz w:val="20"/>
          <w:szCs w:val="20"/>
        </w:rPr>
        <w:t xml:space="preserve"> Nieruchomość musi być kupowana w ramach umowy deweloperskiej, a nie jako gotowy lokal</w:t>
      </w:r>
      <w:r w:rsidR="00EC317A">
        <w:rPr>
          <w:rFonts w:ascii="URW DIN" w:hAnsi="URW DIN"/>
          <w:sz w:val="20"/>
          <w:szCs w:val="20"/>
        </w:rPr>
        <w:t xml:space="preserve"> - wówczas</w:t>
      </w:r>
      <w:r w:rsidRPr="00633299">
        <w:rPr>
          <w:rFonts w:ascii="URW DIN" w:hAnsi="URW DIN"/>
          <w:sz w:val="20"/>
          <w:szCs w:val="20"/>
        </w:rPr>
        <w:t xml:space="preserve"> </w:t>
      </w:r>
      <w:r w:rsidR="007053F5" w:rsidRPr="00633299">
        <w:rPr>
          <w:rFonts w:ascii="URW DIN" w:hAnsi="URW DIN"/>
          <w:sz w:val="20"/>
          <w:szCs w:val="20"/>
        </w:rPr>
        <w:t xml:space="preserve">następuje </w:t>
      </w:r>
      <w:r w:rsidR="00EC317A">
        <w:rPr>
          <w:rFonts w:ascii="URW DIN" w:hAnsi="URW DIN"/>
          <w:sz w:val="20"/>
          <w:szCs w:val="20"/>
        </w:rPr>
        <w:t xml:space="preserve">bowiem </w:t>
      </w:r>
      <w:r w:rsidR="007053F5" w:rsidRPr="00633299">
        <w:rPr>
          <w:rFonts w:ascii="URW DIN" w:hAnsi="URW DIN"/>
          <w:sz w:val="20"/>
          <w:szCs w:val="20"/>
        </w:rPr>
        <w:t>od razu</w:t>
      </w:r>
      <w:r w:rsidRPr="00633299">
        <w:rPr>
          <w:rFonts w:ascii="URW DIN" w:hAnsi="URW DIN"/>
          <w:sz w:val="20"/>
          <w:szCs w:val="20"/>
        </w:rPr>
        <w:t xml:space="preserve"> przeniesieni</w:t>
      </w:r>
      <w:r w:rsidR="007053F5" w:rsidRPr="00633299">
        <w:rPr>
          <w:rFonts w:ascii="URW DIN" w:hAnsi="URW DIN"/>
          <w:sz w:val="20"/>
          <w:szCs w:val="20"/>
        </w:rPr>
        <w:t>e</w:t>
      </w:r>
      <w:r w:rsidRPr="00633299">
        <w:rPr>
          <w:rFonts w:ascii="URW DIN" w:hAnsi="URW DIN"/>
          <w:sz w:val="20"/>
          <w:szCs w:val="20"/>
        </w:rPr>
        <w:t xml:space="preserve"> prawa własności.</w:t>
      </w:r>
      <w:r w:rsidR="007053F5" w:rsidRPr="00633299">
        <w:rPr>
          <w:rFonts w:ascii="URW DIN" w:hAnsi="URW DIN"/>
          <w:sz w:val="20"/>
          <w:szCs w:val="20"/>
        </w:rPr>
        <w:t xml:space="preserve"> </w:t>
      </w:r>
      <w:r w:rsidR="00E30472" w:rsidRPr="00633299">
        <w:rPr>
          <w:rFonts w:ascii="URW DIN" w:hAnsi="URW DIN" w:cs="Tahoma"/>
          <w:sz w:val="20"/>
          <w:szCs w:val="20"/>
          <w:lang w:eastAsia="pl-PL"/>
        </w:rPr>
        <w:t xml:space="preserve">Fundusz obejmuje ochroną nabywców lokali mieszkalnych oferowanych w ramach inwestycji, których sprzedaż rozpoczęła się </w:t>
      </w:r>
      <w:r w:rsidR="003174CA">
        <w:rPr>
          <w:rFonts w:ascii="URW DIN" w:hAnsi="URW DIN" w:cs="Tahoma"/>
          <w:sz w:val="20"/>
          <w:szCs w:val="20"/>
          <w:lang w:eastAsia="pl-PL"/>
        </w:rPr>
        <w:t xml:space="preserve">od </w:t>
      </w:r>
      <w:r w:rsidR="00E30472" w:rsidRPr="00633299">
        <w:rPr>
          <w:rFonts w:ascii="URW DIN" w:hAnsi="URW DIN" w:cs="Tahoma"/>
          <w:sz w:val="20"/>
          <w:szCs w:val="20"/>
          <w:lang w:eastAsia="pl-PL"/>
        </w:rPr>
        <w:t>1 lipca 2022 r. W przypadku, gdy deweloper przed tą datą zawarł choć jedną umowę na mieszkanie</w:t>
      </w:r>
      <w:r w:rsidR="003174CA">
        <w:rPr>
          <w:rFonts w:ascii="URW DIN" w:hAnsi="URW DIN" w:cs="Tahoma"/>
          <w:sz w:val="20"/>
          <w:szCs w:val="20"/>
          <w:lang w:eastAsia="pl-PL"/>
        </w:rPr>
        <w:t xml:space="preserve"> czy dom</w:t>
      </w:r>
      <w:r w:rsidR="00E30472" w:rsidRPr="00633299">
        <w:rPr>
          <w:rFonts w:ascii="URW DIN" w:hAnsi="URW DIN" w:cs="Tahoma"/>
          <w:sz w:val="20"/>
          <w:szCs w:val="20"/>
          <w:lang w:eastAsia="pl-PL"/>
        </w:rPr>
        <w:t xml:space="preserve">, to wobec całego przedsięwzięcia stosowana będzie jeszcze przez </w:t>
      </w:r>
      <w:r w:rsidR="008A15DA">
        <w:rPr>
          <w:rFonts w:ascii="URW DIN" w:hAnsi="URW DIN" w:cs="Tahoma"/>
          <w:sz w:val="20"/>
          <w:szCs w:val="20"/>
          <w:lang w:eastAsia="pl-PL"/>
        </w:rPr>
        <w:t>dwa</w:t>
      </w:r>
      <w:r w:rsidR="00E30472" w:rsidRPr="00633299">
        <w:rPr>
          <w:rFonts w:ascii="URW DIN" w:hAnsi="URW DIN" w:cs="Tahoma"/>
          <w:sz w:val="20"/>
          <w:szCs w:val="20"/>
          <w:lang w:eastAsia="pl-PL"/>
        </w:rPr>
        <w:t xml:space="preserve"> lata stara ustawa deweloperska, a nabywcy zyskają większą ochronę od 1 lipca 2024 r.</w:t>
      </w:r>
      <w:r w:rsidR="008A15DA">
        <w:rPr>
          <w:rFonts w:ascii="URW DIN" w:hAnsi="URW DIN" w:cs="Tahoma"/>
          <w:sz w:val="20"/>
          <w:szCs w:val="20"/>
          <w:lang w:eastAsia="pl-PL"/>
        </w:rPr>
        <w:t xml:space="preserve"> </w:t>
      </w:r>
      <w:r w:rsidRPr="00633299">
        <w:rPr>
          <w:rFonts w:ascii="URW DIN" w:hAnsi="URW DIN"/>
          <w:sz w:val="20"/>
          <w:szCs w:val="20"/>
        </w:rPr>
        <w:t>Informacja o tym, czy dom lub mieszkanie</w:t>
      </w:r>
      <w:r w:rsidR="007053F5" w:rsidRPr="00633299">
        <w:rPr>
          <w:rFonts w:ascii="URW DIN" w:hAnsi="URW DIN"/>
          <w:sz w:val="20"/>
          <w:szCs w:val="20"/>
        </w:rPr>
        <w:t>, które chcemy kupić,</w:t>
      </w:r>
      <w:r w:rsidRPr="00633299">
        <w:rPr>
          <w:rFonts w:ascii="URW DIN" w:hAnsi="URW DIN"/>
          <w:sz w:val="20"/>
          <w:szCs w:val="20"/>
        </w:rPr>
        <w:t xml:space="preserve"> podlega ochronie DFG, </w:t>
      </w:r>
      <w:r w:rsidR="007053F5" w:rsidRPr="00633299">
        <w:rPr>
          <w:rFonts w:ascii="URW DIN" w:hAnsi="URW DIN"/>
          <w:sz w:val="20"/>
          <w:szCs w:val="20"/>
        </w:rPr>
        <w:t>musi</w:t>
      </w:r>
      <w:r w:rsidRPr="00633299">
        <w:rPr>
          <w:rFonts w:ascii="URW DIN" w:hAnsi="URW DIN"/>
          <w:sz w:val="20"/>
          <w:szCs w:val="20"/>
        </w:rPr>
        <w:t xml:space="preserve"> znaleźć</w:t>
      </w:r>
      <w:r w:rsidR="007053F5" w:rsidRPr="00633299">
        <w:rPr>
          <w:rFonts w:ascii="URW DIN" w:hAnsi="URW DIN"/>
          <w:sz w:val="20"/>
          <w:szCs w:val="20"/>
        </w:rPr>
        <w:t xml:space="preserve"> się</w:t>
      </w:r>
      <w:r w:rsidRPr="00633299">
        <w:rPr>
          <w:rFonts w:ascii="URW DIN" w:hAnsi="URW DIN"/>
          <w:sz w:val="20"/>
          <w:szCs w:val="20"/>
        </w:rPr>
        <w:t xml:space="preserve"> w prospekcie informacyjnym </w:t>
      </w:r>
      <w:r w:rsidR="007053F5" w:rsidRPr="00633299">
        <w:rPr>
          <w:rFonts w:ascii="URW DIN" w:hAnsi="URW DIN"/>
          <w:sz w:val="20"/>
          <w:szCs w:val="20"/>
        </w:rPr>
        <w:t xml:space="preserve">udostępnianym potencjalnemu </w:t>
      </w:r>
      <w:r w:rsidR="009A7CCB" w:rsidRPr="00633299">
        <w:rPr>
          <w:rFonts w:ascii="URW DIN" w:hAnsi="URW DIN"/>
          <w:sz w:val="20"/>
          <w:szCs w:val="20"/>
        </w:rPr>
        <w:t>nabywcy</w:t>
      </w:r>
      <w:r w:rsidR="007053F5" w:rsidRPr="00633299">
        <w:rPr>
          <w:rFonts w:ascii="URW DIN" w:hAnsi="URW DIN"/>
          <w:sz w:val="20"/>
          <w:szCs w:val="20"/>
        </w:rPr>
        <w:t xml:space="preserve"> przed zawarciem umowy.</w:t>
      </w:r>
      <w:r w:rsidR="006823CB">
        <w:rPr>
          <w:rFonts w:ascii="URW DIN" w:hAnsi="URW DIN"/>
          <w:sz w:val="20"/>
          <w:szCs w:val="20"/>
        </w:rPr>
        <w:t xml:space="preserve"> </w:t>
      </w:r>
      <w:r w:rsidR="007053F5" w:rsidRPr="00633299">
        <w:rPr>
          <w:rFonts w:ascii="URW DIN" w:hAnsi="URW DIN"/>
          <w:sz w:val="20"/>
          <w:szCs w:val="20"/>
        </w:rPr>
        <w:t xml:space="preserve">Ochrona DFG nie obejmuje lokali </w:t>
      </w:r>
      <w:r w:rsidR="00C449AC" w:rsidRPr="00633299">
        <w:rPr>
          <w:rFonts w:ascii="URW DIN" w:hAnsi="URW DIN"/>
          <w:sz w:val="20"/>
          <w:szCs w:val="20"/>
        </w:rPr>
        <w:t xml:space="preserve">zakupionych na potrzeby działalności gospodarczej. Inwestycje w mieszkania pod wynajem dokonywane przez osoby fizyczne będą jednak podlegały ochronie – istotne jest w tym przypadku to, by lokal służył zaspokojeniu potrzeb mieszkaniowych, </w:t>
      </w:r>
      <w:r w:rsidR="003174CA">
        <w:rPr>
          <w:rFonts w:ascii="URW DIN" w:hAnsi="URW DIN"/>
          <w:sz w:val="20"/>
          <w:szCs w:val="20"/>
        </w:rPr>
        <w:t xml:space="preserve">nawet jeśli nie mieszka w nim </w:t>
      </w:r>
      <w:r w:rsidR="00C449AC" w:rsidRPr="00633299">
        <w:rPr>
          <w:rFonts w:ascii="URW DIN" w:hAnsi="URW DIN"/>
          <w:sz w:val="20"/>
          <w:szCs w:val="20"/>
        </w:rPr>
        <w:t>właściciel.</w:t>
      </w:r>
    </w:p>
    <w:p w14:paraId="0AEF8C30" w14:textId="4585FD17" w:rsidR="00EC317A" w:rsidRDefault="00C449AC" w:rsidP="008A15DA">
      <w:pPr>
        <w:spacing w:line="276" w:lineRule="auto"/>
        <w:jc w:val="both"/>
        <w:rPr>
          <w:rFonts w:ascii="URW DIN" w:hAnsi="URW DIN"/>
          <w:sz w:val="20"/>
          <w:szCs w:val="20"/>
        </w:rPr>
      </w:pPr>
      <w:r w:rsidRPr="00633299">
        <w:rPr>
          <w:rFonts w:ascii="URW DIN" w:hAnsi="URW DIN"/>
          <w:sz w:val="20"/>
          <w:szCs w:val="20"/>
        </w:rPr>
        <w:t xml:space="preserve"> </w:t>
      </w:r>
    </w:p>
    <w:p w14:paraId="12F8237A" w14:textId="098CDF50" w:rsidR="001B0CF2" w:rsidRDefault="001B4FBA" w:rsidP="001B4FBA">
      <w:pPr>
        <w:widowControl/>
        <w:autoSpaceDE/>
        <w:autoSpaceDN/>
        <w:spacing w:after="160" w:line="276" w:lineRule="auto"/>
        <w:contextualSpacing/>
        <w:jc w:val="both"/>
        <w:rPr>
          <w:rFonts w:ascii="URW DIN" w:hAnsi="URW DIN"/>
          <w:color w:val="FF0000"/>
          <w:sz w:val="20"/>
          <w:szCs w:val="20"/>
        </w:rPr>
      </w:pPr>
      <w:r>
        <w:rPr>
          <w:rFonts w:ascii="URW DIN" w:hAnsi="URW DIN"/>
          <w:sz w:val="20"/>
          <w:szCs w:val="20"/>
        </w:rPr>
        <w:lastRenderedPageBreak/>
        <w:t>UFG oraz UOKiK wspólnie przygotowa</w:t>
      </w:r>
      <w:r w:rsidR="00D438DB">
        <w:rPr>
          <w:rFonts w:ascii="URW DIN" w:hAnsi="URW DIN"/>
          <w:sz w:val="20"/>
          <w:szCs w:val="20"/>
        </w:rPr>
        <w:t xml:space="preserve">ły </w:t>
      </w:r>
      <w:r>
        <w:rPr>
          <w:rFonts w:ascii="URW DIN" w:hAnsi="URW DIN"/>
          <w:sz w:val="20"/>
          <w:szCs w:val="20"/>
        </w:rPr>
        <w:t xml:space="preserve">odpowiedzi na najczęściej zadawane pytania dotyczące stosowania przepisów nowej ustawy deweloperskiej, w tym ochrony DFG: </w:t>
      </w:r>
      <w:hyperlink r:id="rId10" w:history="1">
        <w:r w:rsidR="003174CA" w:rsidRPr="004C2922">
          <w:rPr>
            <w:rStyle w:val="Hipercze"/>
            <w:rFonts w:ascii="URW DIN" w:hAnsi="URW DIN"/>
            <w:sz w:val="20"/>
            <w:szCs w:val="20"/>
          </w:rPr>
          <w:t>www.dfg.ufg.pl</w:t>
        </w:r>
      </w:hyperlink>
      <w:r w:rsidR="00E248CE">
        <w:rPr>
          <w:rFonts w:ascii="URW DIN" w:hAnsi="URW DIN"/>
          <w:sz w:val="20"/>
          <w:szCs w:val="20"/>
        </w:rPr>
        <w:t xml:space="preserve"> (sekcja „Najczęściej zadawane pytania”).</w:t>
      </w:r>
    </w:p>
    <w:p w14:paraId="61C15B75" w14:textId="77777777" w:rsidR="001B4FBA" w:rsidRPr="00633299" w:rsidRDefault="001B4FBA" w:rsidP="001B4FBA">
      <w:pPr>
        <w:widowControl/>
        <w:autoSpaceDE/>
        <w:autoSpaceDN/>
        <w:spacing w:after="160" w:line="276" w:lineRule="auto"/>
        <w:contextualSpacing/>
        <w:jc w:val="both"/>
      </w:pPr>
    </w:p>
    <w:p w14:paraId="5475C1DB" w14:textId="12B07F16" w:rsidR="001B0CF2" w:rsidRPr="00633299" w:rsidRDefault="009C43AD" w:rsidP="00633299">
      <w:pPr>
        <w:widowControl/>
        <w:autoSpaceDE/>
        <w:autoSpaceDN/>
        <w:spacing w:after="160" w:line="276" w:lineRule="auto"/>
        <w:contextualSpacing/>
        <w:jc w:val="both"/>
        <w:rPr>
          <w:rFonts w:ascii="URW DIN" w:hAnsi="URW DIN"/>
          <w:b/>
          <w:bCs/>
          <w:sz w:val="20"/>
          <w:szCs w:val="20"/>
        </w:rPr>
      </w:pPr>
      <w:r w:rsidRPr="00633299">
        <w:rPr>
          <w:rFonts w:ascii="URW DIN" w:hAnsi="URW DIN"/>
          <w:b/>
          <w:bCs/>
          <w:sz w:val="20"/>
          <w:szCs w:val="20"/>
        </w:rPr>
        <w:t>Nowoczesny system DFG</w:t>
      </w:r>
    </w:p>
    <w:p w14:paraId="0169FE51" w14:textId="68D28452" w:rsidR="006823CB" w:rsidRPr="006823CB" w:rsidRDefault="006823CB" w:rsidP="006823CB">
      <w:pPr>
        <w:spacing w:line="276" w:lineRule="auto"/>
        <w:jc w:val="both"/>
        <w:rPr>
          <w:rFonts w:ascii="URW DIN" w:eastAsiaTheme="minorHAnsi" w:hAnsi="URW DIN" w:cs="Calibri"/>
          <w:sz w:val="20"/>
          <w:szCs w:val="20"/>
        </w:rPr>
      </w:pPr>
      <w:r>
        <w:rPr>
          <w:rFonts w:ascii="URW DIN" w:hAnsi="URW DIN"/>
          <w:sz w:val="20"/>
          <w:szCs w:val="20"/>
        </w:rPr>
        <w:t>DFG gromadzi i przetwarza szereg danych przekazywanych przez banki i deweloperów na temat zawartych umów deweloperskich, powiązanych z nimi mieszkaniowych rachunków powierniczych (MRP), wpłat i wypłat z tych rachunków oraz historii zmian dokonywanych na umowach.</w:t>
      </w:r>
      <w:r>
        <w:rPr>
          <w:rFonts w:ascii="URW DIN" w:eastAsiaTheme="minorHAnsi" w:hAnsi="URW DIN" w:cs="Calibri"/>
          <w:sz w:val="20"/>
          <w:szCs w:val="20"/>
        </w:rPr>
        <w:t xml:space="preserve"> </w:t>
      </w:r>
      <w:r>
        <w:rPr>
          <w:rFonts w:ascii="URW DIN" w:hAnsi="URW DIN"/>
          <w:sz w:val="20"/>
          <w:szCs w:val="20"/>
        </w:rPr>
        <w:t>Dane zbierane od banków i deweloperów zostaną na dalszych  etapach rozwoju systemu udostępnione Nabywcom poprzez dedykowany Portal</w:t>
      </w:r>
      <w:r w:rsidR="00E248CE">
        <w:rPr>
          <w:rFonts w:ascii="URW DIN" w:hAnsi="URW DIN"/>
          <w:sz w:val="20"/>
          <w:szCs w:val="20"/>
        </w:rPr>
        <w:t xml:space="preserve"> DFG (</w:t>
      </w:r>
      <w:hyperlink r:id="rId11" w:history="1">
        <w:r w:rsidR="00E248CE" w:rsidRPr="005A60DC">
          <w:rPr>
            <w:rStyle w:val="Hipercze"/>
            <w:rFonts w:ascii="URW DIN" w:hAnsi="URW DIN"/>
            <w:sz w:val="20"/>
            <w:szCs w:val="20"/>
          </w:rPr>
          <w:t>www.dfg.ufg.pl</w:t>
        </w:r>
      </w:hyperlink>
      <w:r w:rsidR="00E248CE">
        <w:rPr>
          <w:rFonts w:ascii="URW DIN" w:hAnsi="URW DIN"/>
          <w:sz w:val="20"/>
          <w:szCs w:val="20"/>
        </w:rPr>
        <w:t xml:space="preserve">), </w:t>
      </w:r>
      <w:r>
        <w:rPr>
          <w:rFonts w:ascii="URW DIN" w:hAnsi="URW DIN"/>
          <w:sz w:val="20"/>
          <w:szCs w:val="20"/>
        </w:rPr>
        <w:t>za pośrednictwem którego możliwa będzie weryfikacja poprawności danych umowy deweloperskiej oraz dokonywanych wpłat na poczet zakupu lokalu mieszkalnego. System umożliwi również Nabywcom złożenie online wniosków dotyczących ewentualnych zwrotów z DFG.</w:t>
      </w:r>
      <w:r w:rsidR="00E248CE">
        <w:rPr>
          <w:rFonts w:ascii="URW DIN" w:hAnsi="URW DIN"/>
          <w:sz w:val="20"/>
          <w:szCs w:val="20"/>
        </w:rPr>
        <w:t xml:space="preserve"> </w:t>
      </w:r>
    </w:p>
    <w:p w14:paraId="5DD37C24" w14:textId="77777777" w:rsidR="00E30472" w:rsidRPr="00633299" w:rsidRDefault="00E30472" w:rsidP="00633299">
      <w:pPr>
        <w:widowControl/>
        <w:autoSpaceDE/>
        <w:autoSpaceDN/>
        <w:spacing w:after="160" w:line="276" w:lineRule="auto"/>
        <w:contextualSpacing/>
        <w:jc w:val="both"/>
        <w:rPr>
          <w:rFonts w:ascii="URW DIN" w:hAnsi="URW DIN"/>
          <w:b/>
          <w:bCs/>
          <w:sz w:val="20"/>
          <w:szCs w:val="20"/>
        </w:rPr>
      </w:pPr>
    </w:p>
    <w:p w14:paraId="4D8392A0" w14:textId="2FE30364" w:rsidR="004075FF" w:rsidRPr="003174CA" w:rsidRDefault="004075FF" w:rsidP="00633299">
      <w:pPr>
        <w:widowControl/>
        <w:autoSpaceDE/>
        <w:autoSpaceDN/>
        <w:spacing w:after="160" w:line="276" w:lineRule="auto"/>
        <w:contextualSpacing/>
        <w:jc w:val="both"/>
        <w:rPr>
          <w:rFonts w:ascii="URW DIN" w:hAnsi="URW DIN"/>
          <w:i/>
          <w:iCs/>
          <w:sz w:val="20"/>
          <w:szCs w:val="20"/>
        </w:rPr>
      </w:pPr>
      <w:r w:rsidRPr="003174CA">
        <w:rPr>
          <w:rFonts w:ascii="URW DIN" w:hAnsi="URW DIN" w:cstheme="minorHAnsi"/>
          <w:i/>
          <w:iCs/>
          <w:sz w:val="18"/>
          <w:szCs w:val="18"/>
        </w:rPr>
        <w:t>*</w:t>
      </w:r>
      <w:r w:rsidR="003174CA">
        <w:rPr>
          <w:rFonts w:ascii="URW DIN" w:hAnsi="URW DIN" w:cstheme="minorHAnsi"/>
          <w:i/>
          <w:iCs/>
          <w:sz w:val="18"/>
          <w:szCs w:val="18"/>
        </w:rPr>
        <w:t xml:space="preserve"> </w:t>
      </w:r>
      <w:r w:rsidRPr="003174CA">
        <w:rPr>
          <w:rFonts w:ascii="URW DIN" w:hAnsi="URW DIN" w:cstheme="minorHAnsi"/>
          <w:i/>
          <w:iCs/>
          <w:sz w:val="18"/>
          <w:szCs w:val="18"/>
        </w:rPr>
        <w:t>Badanie zostało zrealizowane przez Grupę BST w czerwcu 2022 r. techniką CATI na reprezentatywnej próbie n= 600 dorosłych Polaków.</w:t>
      </w:r>
    </w:p>
    <w:p w14:paraId="6928699C" w14:textId="77777777" w:rsidR="003567B0" w:rsidRPr="00633299" w:rsidRDefault="003567B0" w:rsidP="00633299">
      <w:pPr>
        <w:spacing w:line="276" w:lineRule="auto"/>
        <w:jc w:val="both"/>
        <w:rPr>
          <w:rFonts w:ascii="URW DIN" w:hAnsi="URW DIN" w:cstheme="minorHAnsi"/>
          <w:iCs/>
          <w:sz w:val="20"/>
          <w:szCs w:val="20"/>
        </w:rPr>
      </w:pPr>
    </w:p>
    <w:p w14:paraId="0278794F" w14:textId="58DE923A" w:rsidR="003567B0" w:rsidRPr="003174CA" w:rsidRDefault="000C65C2" w:rsidP="00633299">
      <w:pPr>
        <w:spacing w:line="276" w:lineRule="auto"/>
        <w:jc w:val="both"/>
        <w:rPr>
          <w:rFonts w:ascii="URW DIN" w:hAnsi="URW DIN"/>
          <w:b/>
          <w:bCs/>
          <w:sz w:val="18"/>
          <w:szCs w:val="18"/>
        </w:rPr>
      </w:pPr>
      <w:r w:rsidRPr="003174CA">
        <w:rPr>
          <w:rFonts w:ascii="URW DIN" w:hAnsi="URW DIN"/>
          <w:b/>
          <w:bCs/>
          <w:sz w:val="18"/>
          <w:szCs w:val="18"/>
        </w:rPr>
        <w:t>Kontakt dla mediów:</w:t>
      </w:r>
    </w:p>
    <w:p w14:paraId="6D9C9B5A" w14:textId="77777777" w:rsidR="00B043CD" w:rsidRPr="003174CA" w:rsidRDefault="00B043CD" w:rsidP="00633299">
      <w:pPr>
        <w:spacing w:line="276" w:lineRule="auto"/>
        <w:jc w:val="both"/>
        <w:rPr>
          <w:rFonts w:ascii="URW DIN" w:hAnsi="URW DIN"/>
          <w:b/>
          <w:bCs/>
          <w:sz w:val="20"/>
          <w:szCs w:val="20"/>
        </w:rPr>
      </w:pPr>
    </w:p>
    <w:p w14:paraId="0623A8B3" w14:textId="61E5D168" w:rsidR="00B043CD" w:rsidRPr="003174CA" w:rsidRDefault="000C65C2" w:rsidP="00633299">
      <w:pPr>
        <w:spacing w:line="276" w:lineRule="auto"/>
        <w:jc w:val="both"/>
        <w:rPr>
          <w:rFonts w:ascii="URW DIN" w:hAnsi="URW DIN"/>
          <w:b/>
          <w:bCs/>
          <w:sz w:val="18"/>
          <w:szCs w:val="18"/>
        </w:rPr>
      </w:pPr>
      <w:r w:rsidRPr="003174CA">
        <w:rPr>
          <w:rFonts w:ascii="URW DIN" w:hAnsi="URW DIN"/>
          <w:b/>
          <w:bCs/>
          <w:sz w:val="18"/>
          <w:szCs w:val="18"/>
        </w:rPr>
        <w:t xml:space="preserve">Damian </w:t>
      </w:r>
      <w:proofErr w:type="spellStart"/>
      <w:r w:rsidRPr="003174CA">
        <w:rPr>
          <w:rFonts w:ascii="URW DIN" w:hAnsi="URW DIN"/>
          <w:b/>
          <w:bCs/>
          <w:sz w:val="18"/>
          <w:szCs w:val="18"/>
        </w:rPr>
        <w:t>Ziąber</w:t>
      </w:r>
      <w:proofErr w:type="spellEnd"/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  <w:t>Małgorzata Cieloch</w:t>
      </w:r>
    </w:p>
    <w:p w14:paraId="610442DA" w14:textId="30969DD6" w:rsidR="000C65C2" w:rsidRPr="003174CA" w:rsidRDefault="000C65C2" w:rsidP="00633299">
      <w:pPr>
        <w:spacing w:line="276" w:lineRule="auto"/>
        <w:jc w:val="both"/>
        <w:rPr>
          <w:rFonts w:ascii="URW DIN" w:hAnsi="URW DIN"/>
          <w:b/>
          <w:bCs/>
          <w:sz w:val="18"/>
          <w:szCs w:val="18"/>
        </w:rPr>
      </w:pPr>
      <w:r w:rsidRPr="003174CA">
        <w:rPr>
          <w:rFonts w:ascii="URW DIN" w:hAnsi="URW DIN"/>
          <w:b/>
          <w:bCs/>
          <w:sz w:val="18"/>
          <w:szCs w:val="18"/>
        </w:rPr>
        <w:t>U</w:t>
      </w:r>
      <w:r w:rsidR="00B043CD" w:rsidRPr="003174CA">
        <w:rPr>
          <w:rFonts w:ascii="URW DIN" w:hAnsi="URW DIN"/>
          <w:b/>
          <w:bCs/>
          <w:sz w:val="18"/>
          <w:szCs w:val="18"/>
        </w:rPr>
        <w:t xml:space="preserve">bezpieczeniowy </w:t>
      </w:r>
      <w:r w:rsidRPr="003174CA">
        <w:rPr>
          <w:rFonts w:ascii="URW DIN" w:hAnsi="URW DIN"/>
          <w:b/>
          <w:bCs/>
          <w:sz w:val="18"/>
          <w:szCs w:val="18"/>
        </w:rPr>
        <w:t>F</w:t>
      </w:r>
      <w:r w:rsidR="00B043CD" w:rsidRPr="003174CA">
        <w:rPr>
          <w:rFonts w:ascii="URW DIN" w:hAnsi="URW DIN"/>
          <w:b/>
          <w:bCs/>
          <w:sz w:val="18"/>
          <w:szCs w:val="18"/>
        </w:rPr>
        <w:t xml:space="preserve">undusz </w:t>
      </w:r>
      <w:r w:rsidRPr="003174CA">
        <w:rPr>
          <w:rFonts w:ascii="URW DIN" w:hAnsi="URW DIN"/>
          <w:b/>
          <w:bCs/>
          <w:sz w:val="18"/>
          <w:szCs w:val="18"/>
        </w:rPr>
        <w:t>G</w:t>
      </w:r>
      <w:r w:rsidR="00B043CD" w:rsidRPr="003174CA">
        <w:rPr>
          <w:rFonts w:ascii="URW DIN" w:hAnsi="URW DIN"/>
          <w:b/>
          <w:bCs/>
          <w:sz w:val="18"/>
          <w:szCs w:val="18"/>
        </w:rPr>
        <w:t xml:space="preserve">warancyjny </w:t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  <w:t>Urząd Ochrony Konkurencji i Konsument</w:t>
      </w:r>
      <w:r w:rsidR="00E32E03" w:rsidRPr="003174CA">
        <w:rPr>
          <w:rFonts w:ascii="URW DIN" w:hAnsi="URW DIN"/>
          <w:b/>
          <w:bCs/>
          <w:sz w:val="18"/>
          <w:szCs w:val="18"/>
        </w:rPr>
        <w:t>ów</w:t>
      </w:r>
    </w:p>
    <w:p w14:paraId="1D8C578C" w14:textId="6AEAAD32" w:rsidR="00B043CD" w:rsidRPr="003174CA" w:rsidRDefault="0080265E" w:rsidP="00B043CD">
      <w:pPr>
        <w:spacing w:line="276" w:lineRule="auto"/>
        <w:jc w:val="both"/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</w:pPr>
      <w:r w:rsidRPr="003174CA">
        <w:rPr>
          <w:rFonts w:ascii="URW DIN" w:hAnsi="URW DIN"/>
          <w:b/>
          <w:bCs/>
          <w:sz w:val="18"/>
          <w:szCs w:val="18"/>
        </w:rPr>
        <w:t>t</w:t>
      </w:r>
      <w:r w:rsidR="00B043CD" w:rsidRPr="003174CA">
        <w:rPr>
          <w:rFonts w:ascii="URW DIN" w:hAnsi="URW DIN"/>
          <w:b/>
          <w:bCs/>
          <w:sz w:val="18"/>
          <w:szCs w:val="18"/>
        </w:rPr>
        <w:t xml:space="preserve">el. </w:t>
      </w:r>
      <w:r w:rsidR="00B043CD" w:rsidRPr="003174CA">
        <w:rPr>
          <w:rFonts w:ascii="URW DIN" w:hAnsi="URW DIN" w:cs="Calibri"/>
          <w:b/>
          <w:bCs/>
          <w:color w:val="464646"/>
          <w:sz w:val="18"/>
          <w:szCs w:val="18"/>
          <w:shd w:val="clear" w:color="auto" w:fill="FFFFFF"/>
        </w:rPr>
        <w:t xml:space="preserve">502 591 655 </w:t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="00B043CD" w:rsidRPr="003174CA">
        <w:rPr>
          <w:rFonts w:ascii="URW DIN" w:hAnsi="URW DIN"/>
          <w:b/>
          <w:bCs/>
          <w:sz w:val="18"/>
          <w:szCs w:val="18"/>
        </w:rPr>
        <w:tab/>
      </w:r>
      <w:r w:rsidRPr="003174CA">
        <w:rPr>
          <w:rFonts w:ascii="URW DIN" w:hAnsi="URW DIN"/>
          <w:b/>
          <w:bCs/>
          <w:sz w:val="18"/>
          <w:szCs w:val="18"/>
        </w:rPr>
        <w:t>t</w:t>
      </w:r>
      <w:r w:rsidR="00B043CD" w:rsidRPr="003174CA">
        <w:rPr>
          <w:rFonts w:ascii="URW DIN" w:hAnsi="URW DIN"/>
          <w:b/>
          <w:bCs/>
          <w:sz w:val="18"/>
          <w:szCs w:val="18"/>
        </w:rPr>
        <w:t xml:space="preserve">el. </w:t>
      </w:r>
      <w:r w:rsidR="00B043CD"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 xml:space="preserve">22 55 60 246 </w:t>
      </w:r>
    </w:p>
    <w:p w14:paraId="67B84FC3" w14:textId="2510346E" w:rsidR="00CD209C" w:rsidRPr="006823CB" w:rsidRDefault="00B043CD" w:rsidP="006823CB">
      <w:pPr>
        <w:spacing w:line="276" w:lineRule="auto"/>
        <w:jc w:val="both"/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</w:pPr>
      <w:r w:rsidRPr="003174CA">
        <w:rPr>
          <w:rFonts w:ascii="URW DIN" w:hAnsi="URW DIN" w:cs="Calibri"/>
          <w:b/>
          <w:bCs/>
          <w:color w:val="464646"/>
          <w:sz w:val="18"/>
          <w:szCs w:val="18"/>
          <w:shd w:val="clear" w:color="auto" w:fill="FFFFFF"/>
        </w:rPr>
        <w:t xml:space="preserve">e-mail: </w:t>
      </w:r>
      <w:hyperlink r:id="rId12" w:history="1">
        <w:r w:rsidRPr="00741B61">
          <w:rPr>
            <w:rStyle w:val="Hipercze"/>
            <w:rFonts w:ascii="URW DIN" w:hAnsi="URW DIN" w:cs="Calibri"/>
            <w:b/>
            <w:bCs/>
            <w:sz w:val="18"/>
            <w:szCs w:val="18"/>
            <w:shd w:val="clear" w:color="auto" w:fill="FFFFFF"/>
          </w:rPr>
          <w:t>dziaber@ufg.pl</w:t>
        </w:r>
      </w:hyperlink>
      <w:r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ab/>
      </w:r>
      <w:r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ab/>
      </w:r>
      <w:r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ab/>
      </w:r>
      <w:r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ab/>
      </w:r>
      <w:r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ab/>
      </w:r>
      <w:r w:rsidRPr="003174CA">
        <w:rPr>
          <w:rFonts w:ascii="URW DIN" w:hAnsi="URW DIN"/>
          <w:b/>
          <w:bCs/>
          <w:color w:val="222222"/>
          <w:sz w:val="18"/>
          <w:szCs w:val="18"/>
          <w:shd w:val="clear" w:color="auto" w:fill="FFFFFF"/>
        </w:rPr>
        <w:tab/>
        <w:t xml:space="preserve">e-mail: </w:t>
      </w:r>
      <w:hyperlink r:id="rId13" w:history="1">
        <w:r w:rsidRPr="003174CA">
          <w:rPr>
            <w:rStyle w:val="Hipercze"/>
            <w:rFonts w:ascii="URW DIN" w:hAnsi="URW DIN"/>
            <w:b/>
            <w:bCs/>
            <w:sz w:val="18"/>
            <w:szCs w:val="18"/>
            <w:shd w:val="clear" w:color="auto" w:fill="FFFFFF"/>
          </w:rPr>
          <w:t>malgorzata.cieloch@uokik.gov.pl</w:t>
        </w:r>
      </w:hyperlink>
    </w:p>
    <w:p w14:paraId="30D5D451" w14:textId="77777777" w:rsidR="00CD209C" w:rsidRDefault="00CD209C" w:rsidP="00C53034">
      <w:pPr>
        <w:spacing w:line="276" w:lineRule="auto"/>
        <w:jc w:val="both"/>
        <w:rPr>
          <w:rFonts w:ascii="URW DIN" w:hAnsi="URW DIN" w:cs="Calibri"/>
          <w:lang w:eastAsia="pl-PL"/>
        </w:rPr>
      </w:pPr>
    </w:p>
    <w:p w14:paraId="5D78C121" w14:textId="36ECA9D0" w:rsidR="00DE46E3" w:rsidRPr="006823CB" w:rsidRDefault="00A92B5A" w:rsidP="00C53034">
      <w:pPr>
        <w:spacing w:line="276" w:lineRule="auto"/>
        <w:jc w:val="both"/>
        <w:rPr>
          <w:rFonts w:ascii="URW DIN" w:hAnsi="URW DIN" w:cs="Calibri"/>
          <w:sz w:val="20"/>
          <w:szCs w:val="20"/>
          <w:lang w:eastAsia="pl-PL"/>
        </w:rPr>
      </w:pPr>
      <w:r w:rsidRPr="006823CB">
        <w:rPr>
          <w:rFonts w:ascii="URW DIN" w:hAnsi="URW DIN" w:cs="Calibri"/>
          <w:sz w:val="20"/>
          <w:szCs w:val="20"/>
          <w:lang w:eastAsia="pl-PL"/>
        </w:rPr>
        <w:t xml:space="preserve">Więcej o Ubezpieczeniowym Funduszu Gwarancyjnym na stronie </w:t>
      </w:r>
      <w:hyperlink r:id="rId14" w:history="1">
        <w:r w:rsidRPr="006823CB">
          <w:rPr>
            <w:rStyle w:val="Hipercze"/>
            <w:rFonts w:ascii="URW DIN" w:hAnsi="URW DIN" w:cs="Calibri"/>
            <w:sz w:val="20"/>
            <w:szCs w:val="20"/>
            <w:lang w:eastAsia="pl-PL"/>
          </w:rPr>
          <w:t>ufg.pl</w:t>
        </w:r>
      </w:hyperlink>
    </w:p>
    <w:p w14:paraId="4A2184C3" w14:textId="5A056FBF" w:rsidR="00C233E0" w:rsidRPr="00C233E0" w:rsidRDefault="00A92B5A" w:rsidP="006823CB">
      <w:pPr>
        <w:spacing w:line="276" w:lineRule="auto"/>
        <w:jc w:val="both"/>
        <w:rPr>
          <w:rFonts w:ascii="URW DIN" w:hAnsi="URW DIN"/>
          <w:sz w:val="24"/>
          <w:szCs w:val="24"/>
        </w:rPr>
      </w:pPr>
      <w:r w:rsidRPr="006823CB">
        <w:rPr>
          <w:rFonts w:ascii="URW DIN" w:hAnsi="URW DIN"/>
          <w:sz w:val="20"/>
          <w:szCs w:val="20"/>
        </w:rPr>
        <w:t xml:space="preserve">Więcej o Urzędzie Ochrony Konkurencji i Konsumentów na stronie </w:t>
      </w:r>
      <w:hyperlink r:id="rId15" w:history="1">
        <w:r w:rsidRPr="006823CB">
          <w:rPr>
            <w:rStyle w:val="Hipercze"/>
            <w:rFonts w:ascii="URW DIN" w:hAnsi="URW DIN"/>
            <w:sz w:val="20"/>
            <w:szCs w:val="20"/>
          </w:rPr>
          <w:t>uokik.gov.pl</w:t>
        </w:r>
      </w:hyperlink>
      <w:bookmarkStart w:id="0" w:name="_GoBack"/>
      <w:bookmarkEnd w:id="0"/>
    </w:p>
    <w:sectPr w:rsidR="00C233E0" w:rsidRPr="00C233E0" w:rsidSect="00935CF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1843" w:right="1140" w:bottom="1560" w:left="1140" w:header="1134" w:footer="181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311E0" w14:textId="77777777" w:rsidR="00E0422D" w:rsidRDefault="00E0422D" w:rsidP="00CE48FA">
      <w:r>
        <w:separator/>
      </w:r>
    </w:p>
  </w:endnote>
  <w:endnote w:type="continuationSeparator" w:id="0">
    <w:p w14:paraId="62600026" w14:textId="77777777" w:rsidR="00E0422D" w:rsidRDefault="00E0422D" w:rsidP="00CE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W DIN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">
    <w:altName w:val="MS Gothic"/>
    <w:charset w:val="EE"/>
    <w:family w:val="roman"/>
    <w:pitch w:val="variable"/>
    <w:sig w:usb0="00000001" w:usb1="5200F9FB" w:usb2="0A04002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CEE19" w14:textId="628EFDCA" w:rsidR="000F419A" w:rsidRPr="00200CB9" w:rsidRDefault="00DF525E" w:rsidP="00935CF2">
    <w:pPr>
      <w:pStyle w:val="Tekstpodstawowy"/>
      <w:tabs>
        <w:tab w:val="left" w:pos="4146"/>
        <w:tab w:val="left" w:pos="6806"/>
        <w:tab w:val="left" w:pos="8843"/>
      </w:tabs>
      <w:ind w:left="106"/>
      <w:jc w:val="right"/>
      <w:rPr>
        <w:rFonts w:ascii="URW DIN" w:hAnsi="URW DIN"/>
      </w:rPr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33BE4976" wp14:editId="653810DD">
          <wp:simplePos x="0" y="0"/>
          <wp:positionH relativeFrom="margin">
            <wp:align>right</wp:align>
          </wp:positionH>
          <wp:positionV relativeFrom="paragraph">
            <wp:posOffset>281940</wp:posOffset>
          </wp:positionV>
          <wp:extent cx="6115050" cy="685165"/>
          <wp:effectExtent l="0" t="0" r="0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CF2" w:rsidRPr="00935CF2">
      <w:rPr>
        <w:rFonts w:ascii="URW DIN" w:hAnsi="URW DIN"/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5157FE55" wp14:editId="3A3BD269">
              <wp:simplePos x="0" y="0"/>
              <wp:positionH relativeFrom="margin">
                <wp:align>right</wp:align>
              </wp:positionH>
              <wp:positionV relativeFrom="paragraph">
                <wp:posOffset>561975</wp:posOffset>
              </wp:positionV>
              <wp:extent cx="975600" cy="1404620"/>
              <wp:effectExtent l="0" t="0" r="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URW DIN" w:eastAsiaTheme="majorEastAsia" w:hAnsi="URW DIN" w:cstheme="majorBidi"/>
                              <w:color w:val="808080" w:themeColor="background1" w:themeShade="80"/>
                              <w:sz w:val="16"/>
                              <w:szCs w:val="16"/>
                            </w:rPr>
                            <w:id w:val="18211520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A736A5E" w14:textId="512144D9" w:rsidR="00935CF2" w:rsidRPr="00935CF2" w:rsidRDefault="00935CF2" w:rsidP="00935CF2">
                              <w:pPr>
                                <w:pStyle w:val="Stopka"/>
                                <w:jc w:val="right"/>
                                <w:rPr>
                                  <w:rFonts w:ascii="URW DIN" w:hAnsi="URW DI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RW DIN" w:eastAsiaTheme="majorEastAsia" w:hAnsi="URW DIN" w:cstheme="majorBid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strona </w:t>
                              </w:r>
                              <w:r w:rsidRPr="00A014F3">
                                <w:rPr>
                                  <w:rFonts w:ascii="URW DIN" w:eastAsiaTheme="majorEastAsia" w:hAnsi="URW DIN" w:cstheme="majorBid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14F3">
                                <w:rPr>
                                  <w:rFonts w:ascii="URW DIN" w:eastAsiaTheme="minorEastAsia" w:hAnsi="URW DIN" w:cs="Times New Roma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014F3">
                                <w:rPr>
                                  <w:rFonts w:ascii="URW DIN" w:hAnsi="URW DI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A014F3">
                                <w:rPr>
                                  <w:rFonts w:ascii="URW DIN" w:eastAsiaTheme="minorEastAsia" w:hAnsi="URW DIN" w:cs="Times New Roma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41B61" w:rsidRPr="00741B61">
                                <w:rPr>
                                  <w:rFonts w:ascii="URW DIN" w:eastAsiaTheme="minorEastAsia" w:hAnsi="URW DIN" w:cs="Times New Roman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014F3">
                                <w:rPr>
                                  <w:rFonts w:ascii="URW DIN" w:eastAsiaTheme="majorEastAsia" w:hAnsi="URW DIN" w:cstheme="majorBid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57FE5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.6pt;margin-top:44.25pt;width:76.8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" filled="f" stroked="f">
              <v:textbox style="mso-fit-shape-to-text:t" inset="0,0,0,0">
                <w:txbxContent>
                  <w:sdt>
                    <w:sdtPr>
                      <w:rPr>
                        <w:rFonts w:ascii="URW DIN" w:eastAsiaTheme="majorEastAsia" w:hAnsi="URW DIN" w:cstheme="majorBidi"/>
                        <w:color w:val="808080" w:themeColor="background1" w:themeShade="80"/>
                        <w:sz w:val="16"/>
                        <w:szCs w:val="16"/>
                      </w:rPr>
                      <w:id w:val="182115206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A736A5E" w14:textId="512144D9" w:rsidR="00935CF2" w:rsidRPr="00935CF2" w:rsidRDefault="00935CF2" w:rsidP="00935CF2">
                        <w:pPr>
                          <w:pStyle w:val="Stopka"/>
                          <w:jc w:val="right"/>
                          <w:rPr>
                            <w:rFonts w:ascii="URW DIN" w:hAnsi="URW DIN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RW DIN" w:eastAsiaTheme="majorEastAsia" w:hAnsi="URW DIN" w:cstheme="majorBidi"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strona </w:t>
                        </w:r>
                        <w:r w:rsidRPr="00A014F3">
                          <w:rPr>
                            <w:rFonts w:ascii="URW DIN" w:eastAsiaTheme="majorEastAsia" w:hAnsi="URW DIN" w:cstheme="majorBidi"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 </w:t>
                        </w:r>
                        <w:r w:rsidRPr="00A014F3">
                          <w:rPr>
                            <w:rFonts w:ascii="URW DIN" w:eastAsiaTheme="minorEastAsia" w:hAnsi="URW DIN" w:cs="Times New Roman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A014F3">
                          <w:rPr>
                            <w:rFonts w:ascii="URW DIN" w:hAnsi="URW DIN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A014F3">
                          <w:rPr>
                            <w:rFonts w:ascii="URW DIN" w:eastAsiaTheme="minorEastAsia" w:hAnsi="URW DIN" w:cs="Times New Roman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741B61" w:rsidRPr="00741B61">
                          <w:rPr>
                            <w:rFonts w:ascii="URW DIN" w:eastAsiaTheme="minorEastAsia" w:hAnsi="URW DIN" w:cs="Times New Roman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A014F3">
                          <w:rPr>
                            <w:rFonts w:ascii="URW DIN" w:eastAsiaTheme="majorEastAsia" w:hAnsi="URW DIN" w:cstheme="majorBidi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B7A00" w14:textId="6C11FAF8" w:rsidR="00DF525E" w:rsidRDefault="00DF525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3BBBB230" wp14:editId="7C2683BC">
          <wp:simplePos x="0" y="0"/>
          <wp:positionH relativeFrom="margin">
            <wp:align>right</wp:align>
          </wp:positionH>
          <wp:positionV relativeFrom="paragraph">
            <wp:posOffset>207010</wp:posOffset>
          </wp:positionV>
          <wp:extent cx="6115050" cy="685165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53C26" w14:textId="77777777" w:rsidR="00E0422D" w:rsidRDefault="00E0422D" w:rsidP="00CE48FA">
      <w:r>
        <w:separator/>
      </w:r>
    </w:p>
  </w:footnote>
  <w:footnote w:type="continuationSeparator" w:id="0">
    <w:p w14:paraId="0F11A1CB" w14:textId="77777777" w:rsidR="00E0422D" w:rsidRDefault="00E0422D" w:rsidP="00CE4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C9864" w14:textId="496EBDCC" w:rsidR="00874DA9" w:rsidRDefault="00D96D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387412C7" wp14:editId="4757A6D8">
          <wp:simplePos x="0" y="0"/>
          <wp:positionH relativeFrom="margin">
            <wp:posOffset>4637380</wp:posOffset>
          </wp:positionH>
          <wp:positionV relativeFrom="paragraph">
            <wp:posOffset>-716915</wp:posOffset>
          </wp:positionV>
          <wp:extent cx="1645920" cy="1645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1" locked="1" layoutInCell="1" allowOverlap="1" wp14:anchorId="534FC9D9" wp14:editId="642DE967">
          <wp:simplePos x="0" y="0"/>
          <wp:positionH relativeFrom="column">
            <wp:posOffset>-293370</wp:posOffset>
          </wp:positionH>
          <wp:positionV relativeFrom="paragraph">
            <wp:posOffset>-543560</wp:posOffset>
          </wp:positionV>
          <wp:extent cx="2169160" cy="1144270"/>
          <wp:effectExtent l="0" t="0" r="0" b="0"/>
          <wp:wrapNone/>
          <wp:docPr id="3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Obraz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23D6" w14:textId="5937672B" w:rsidR="00B11998" w:rsidRDefault="00FA599E" w:rsidP="00A677FE">
    <w:pPr>
      <w:pStyle w:val="Nagwek"/>
      <w:tabs>
        <w:tab w:val="clear" w:pos="4536"/>
        <w:tab w:val="clear" w:pos="9072"/>
        <w:tab w:val="left" w:pos="8200"/>
      </w:tabs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5BCCCD2F" wp14:editId="0F19E004">
          <wp:simplePos x="0" y="0"/>
          <wp:positionH relativeFrom="column">
            <wp:posOffset>4337050</wp:posOffset>
          </wp:positionH>
          <wp:positionV relativeFrom="paragraph">
            <wp:posOffset>-669290</wp:posOffset>
          </wp:positionV>
          <wp:extent cx="1874520" cy="18745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187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30E">
      <w:rPr>
        <w:noProof/>
        <w:lang w:eastAsia="pl-PL"/>
      </w:rPr>
      <w:drawing>
        <wp:anchor distT="0" distB="0" distL="114300" distR="114300" simplePos="0" relativeHeight="251661312" behindDoc="1" locked="1" layoutInCell="1" allowOverlap="1" wp14:anchorId="0E4A93A0" wp14:editId="306B79EF">
          <wp:simplePos x="0" y="0"/>
          <wp:positionH relativeFrom="column">
            <wp:posOffset>-205740</wp:posOffset>
          </wp:positionH>
          <wp:positionV relativeFrom="paragraph">
            <wp:posOffset>-281940</wp:posOffset>
          </wp:positionV>
          <wp:extent cx="2169160" cy="1144270"/>
          <wp:effectExtent l="0" t="0" r="0" b="0"/>
          <wp:wrapNone/>
          <wp:docPr id="7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Obraz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7F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6861"/>
    <w:multiLevelType w:val="hybridMultilevel"/>
    <w:tmpl w:val="3D741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0C3F"/>
    <w:multiLevelType w:val="hybridMultilevel"/>
    <w:tmpl w:val="26D07C7E"/>
    <w:lvl w:ilvl="0" w:tplc="A484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FE3FDA">
      <w:numFmt w:val="bullet"/>
      <w:lvlText w:val="•"/>
      <w:lvlJc w:val="left"/>
      <w:pPr>
        <w:ind w:left="1440" w:hanging="360"/>
      </w:pPr>
      <w:rPr>
        <w:rFonts w:ascii="URW DIN" w:eastAsia="DejaVu Sans" w:hAnsi="URW DIN" w:cs="DejaVu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35685"/>
    <w:multiLevelType w:val="hybridMultilevel"/>
    <w:tmpl w:val="6D3AB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5324E"/>
    <w:multiLevelType w:val="hybridMultilevel"/>
    <w:tmpl w:val="88164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5F0479"/>
    <w:multiLevelType w:val="hybridMultilevel"/>
    <w:tmpl w:val="19EA91CE"/>
    <w:lvl w:ilvl="0" w:tplc="A470C7D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90F39CD"/>
    <w:multiLevelType w:val="hybridMultilevel"/>
    <w:tmpl w:val="40B4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438"/>
    <w:multiLevelType w:val="hybridMultilevel"/>
    <w:tmpl w:val="A2EA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44D6D"/>
    <w:multiLevelType w:val="hybridMultilevel"/>
    <w:tmpl w:val="26D07C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URW DIN" w:eastAsia="DejaVu Sans" w:hAnsi="URW DIN" w:cs="DejaVu San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50"/>
    <w:rsid w:val="000028D4"/>
    <w:rsid w:val="0001492D"/>
    <w:rsid w:val="00033B47"/>
    <w:rsid w:val="00044E43"/>
    <w:rsid w:val="000553CC"/>
    <w:rsid w:val="00076C20"/>
    <w:rsid w:val="00077095"/>
    <w:rsid w:val="00087EA4"/>
    <w:rsid w:val="00096E2D"/>
    <w:rsid w:val="000A3D0A"/>
    <w:rsid w:val="000B33E8"/>
    <w:rsid w:val="000C65C2"/>
    <w:rsid w:val="000C74B5"/>
    <w:rsid w:val="000D0434"/>
    <w:rsid w:val="000D378E"/>
    <w:rsid w:val="000F342E"/>
    <w:rsid w:val="000F419A"/>
    <w:rsid w:val="00123473"/>
    <w:rsid w:val="0016032C"/>
    <w:rsid w:val="001615CA"/>
    <w:rsid w:val="001A44DE"/>
    <w:rsid w:val="001B0CF2"/>
    <w:rsid w:val="001B4FBA"/>
    <w:rsid w:val="001E0E88"/>
    <w:rsid w:val="001E7452"/>
    <w:rsid w:val="00200CB9"/>
    <w:rsid w:val="002263DA"/>
    <w:rsid w:val="002352EB"/>
    <w:rsid w:val="00267E62"/>
    <w:rsid w:val="00296E99"/>
    <w:rsid w:val="002A2FFB"/>
    <w:rsid w:val="002B364E"/>
    <w:rsid w:val="002C2BC8"/>
    <w:rsid w:val="003174CA"/>
    <w:rsid w:val="00332B0D"/>
    <w:rsid w:val="00337EB9"/>
    <w:rsid w:val="0034275B"/>
    <w:rsid w:val="003567B0"/>
    <w:rsid w:val="00361E8E"/>
    <w:rsid w:val="00380105"/>
    <w:rsid w:val="003B0880"/>
    <w:rsid w:val="003C4ABB"/>
    <w:rsid w:val="003D6C72"/>
    <w:rsid w:val="003F2BB9"/>
    <w:rsid w:val="004075FF"/>
    <w:rsid w:val="0042359C"/>
    <w:rsid w:val="00432DCB"/>
    <w:rsid w:val="00443F07"/>
    <w:rsid w:val="00466C56"/>
    <w:rsid w:val="00475BEA"/>
    <w:rsid w:val="00493435"/>
    <w:rsid w:val="004A0402"/>
    <w:rsid w:val="004F09E3"/>
    <w:rsid w:val="005031BC"/>
    <w:rsid w:val="005323FA"/>
    <w:rsid w:val="00570262"/>
    <w:rsid w:val="0057659B"/>
    <w:rsid w:val="005937EE"/>
    <w:rsid w:val="00596F51"/>
    <w:rsid w:val="005A4DF6"/>
    <w:rsid w:val="005B63AC"/>
    <w:rsid w:val="005B7FF5"/>
    <w:rsid w:val="005C58B0"/>
    <w:rsid w:val="006210B6"/>
    <w:rsid w:val="0062398E"/>
    <w:rsid w:val="00624161"/>
    <w:rsid w:val="00633299"/>
    <w:rsid w:val="00680B6E"/>
    <w:rsid w:val="006823CB"/>
    <w:rsid w:val="006A2D71"/>
    <w:rsid w:val="006A5437"/>
    <w:rsid w:val="006B1CA6"/>
    <w:rsid w:val="006C3450"/>
    <w:rsid w:val="006D02CF"/>
    <w:rsid w:val="006F2872"/>
    <w:rsid w:val="006F5F03"/>
    <w:rsid w:val="007053F5"/>
    <w:rsid w:val="00724746"/>
    <w:rsid w:val="0072561C"/>
    <w:rsid w:val="00730E14"/>
    <w:rsid w:val="00741B61"/>
    <w:rsid w:val="00755480"/>
    <w:rsid w:val="00755AEE"/>
    <w:rsid w:val="00762E3B"/>
    <w:rsid w:val="00775787"/>
    <w:rsid w:val="00780EEA"/>
    <w:rsid w:val="00782F28"/>
    <w:rsid w:val="007A055C"/>
    <w:rsid w:val="007F0D94"/>
    <w:rsid w:val="007F3B50"/>
    <w:rsid w:val="0080265E"/>
    <w:rsid w:val="008307DC"/>
    <w:rsid w:val="00852177"/>
    <w:rsid w:val="00874DA9"/>
    <w:rsid w:val="00890C02"/>
    <w:rsid w:val="008A15DA"/>
    <w:rsid w:val="008A5C39"/>
    <w:rsid w:val="008C7431"/>
    <w:rsid w:val="008D106B"/>
    <w:rsid w:val="008D46A1"/>
    <w:rsid w:val="0091466D"/>
    <w:rsid w:val="00920A1C"/>
    <w:rsid w:val="00932F03"/>
    <w:rsid w:val="00935CF2"/>
    <w:rsid w:val="00981FA2"/>
    <w:rsid w:val="0099415D"/>
    <w:rsid w:val="009A7CCB"/>
    <w:rsid w:val="009C43AD"/>
    <w:rsid w:val="009F1D9D"/>
    <w:rsid w:val="00A065CF"/>
    <w:rsid w:val="00A20B7A"/>
    <w:rsid w:val="00A30038"/>
    <w:rsid w:val="00A677FE"/>
    <w:rsid w:val="00A92B5A"/>
    <w:rsid w:val="00AF1BAD"/>
    <w:rsid w:val="00B043CD"/>
    <w:rsid w:val="00B056F6"/>
    <w:rsid w:val="00B11998"/>
    <w:rsid w:val="00B152CB"/>
    <w:rsid w:val="00B81BD8"/>
    <w:rsid w:val="00B949B9"/>
    <w:rsid w:val="00B96E80"/>
    <w:rsid w:val="00BC37AE"/>
    <w:rsid w:val="00BD2A91"/>
    <w:rsid w:val="00C233E0"/>
    <w:rsid w:val="00C449AC"/>
    <w:rsid w:val="00C53034"/>
    <w:rsid w:val="00C56DDA"/>
    <w:rsid w:val="00C87E63"/>
    <w:rsid w:val="00CA41A5"/>
    <w:rsid w:val="00CA4433"/>
    <w:rsid w:val="00CB7D1A"/>
    <w:rsid w:val="00CD209C"/>
    <w:rsid w:val="00CE48FA"/>
    <w:rsid w:val="00D1529B"/>
    <w:rsid w:val="00D438DB"/>
    <w:rsid w:val="00D4717F"/>
    <w:rsid w:val="00D526A4"/>
    <w:rsid w:val="00D53AD6"/>
    <w:rsid w:val="00D60350"/>
    <w:rsid w:val="00D6111B"/>
    <w:rsid w:val="00D96A06"/>
    <w:rsid w:val="00D96D28"/>
    <w:rsid w:val="00DA71C6"/>
    <w:rsid w:val="00DB4553"/>
    <w:rsid w:val="00DD1DC3"/>
    <w:rsid w:val="00DE0D93"/>
    <w:rsid w:val="00DE46E3"/>
    <w:rsid w:val="00DF525E"/>
    <w:rsid w:val="00E021AE"/>
    <w:rsid w:val="00E0422D"/>
    <w:rsid w:val="00E1130E"/>
    <w:rsid w:val="00E248CE"/>
    <w:rsid w:val="00E30472"/>
    <w:rsid w:val="00E32E03"/>
    <w:rsid w:val="00E36AB9"/>
    <w:rsid w:val="00E372F3"/>
    <w:rsid w:val="00E373EC"/>
    <w:rsid w:val="00E43F25"/>
    <w:rsid w:val="00E56A28"/>
    <w:rsid w:val="00E76292"/>
    <w:rsid w:val="00EA1144"/>
    <w:rsid w:val="00EC317A"/>
    <w:rsid w:val="00ED0AD3"/>
    <w:rsid w:val="00ED3D7F"/>
    <w:rsid w:val="00F07E97"/>
    <w:rsid w:val="00F228A2"/>
    <w:rsid w:val="00F54070"/>
    <w:rsid w:val="00F72A29"/>
    <w:rsid w:val="00F97A4A"/>
    <w:rsid w:val="00FA3325"/>
    <w:rsid w:val="00FA599E"/>
    <w:rsid w:val="00FB19EB"/>
    <w:rsid w:val="00FB24FF"/>
    <w:rsid w:val="00FB3A8C"/>
    <w:rsid w:val="00FC355A"/>
    <w:rsid w:val="00F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C06E3"/>
  <w15:docId w15:val="{FFB26FFD-E7A1-4A39-B3F3-B5D8003A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DejaVu Sans" w:eastAsia="DejaVu Sans" w:hAnsi="DejaVu Sans" w:cs="DejaVu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7"/>
    </w:pPr>
    <w:rPr>
      <w:rFonts w:ascii="DejaVu Serif" w:eastAsia="DejaVu Serif" w:hAnsi="DejaVu Serif" w:cs="DejaVu Serif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4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8F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48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8FA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3A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3A8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A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A8C"/>
    <w:rPr>
      <w:rFonts w:ascii="Segoe UI" w:eastAsia="DejaVu Sans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1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1C6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1C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D0A"/>
    <w:pPr>
      <w:widowControl w:val="0"/>
      <w:autoSpaceDE w:val="0"/>
      <w:autoSpaceDN w:val="0"/>
    </w:pPr>
    <w:rPr>
      <w:rFonts w:ascii="DejaVu Sans" w:eastAsia="DejaVu Sans" w:hAnsi="DejaVu Sans" w:cs="DejaVu Sans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D0A"/>
    <w:rPr>
      <w:rFonts w:ascii="DejaVu Sans" w:eastAsia="DejaVu Sans" w:hAnsi="DejaVu Sans" w:cs="DejaVu Sans"/>
      <w:b/>
      <w:bCs/>
      <w:sz w:val="20"/>
      <w:szCs w:val="20"/>
      <w:lang w:val="pl-PL" w:eastAsia="pl-PL"/>
    </w:rPr>
  </w:style>
  <w:style w:type="paragraph" w:customStyle="1" w:styleId="Textbody">
    <w:name w:val="Text body"/>
    <w:basedOn w:val="Normalny"/>
    <w:rsid w:val="00C53034"/>
    <w:pPr>
      <w:widowControl/>
      <w:suppressAutoHyphens/>
      <w:autoSpaceDE/>
      <w:textAlignment w:val="baseline"/>
    </w:pPr>
    <w:rPr>
      <w:kern w:val="3"/>
      <w:sz w:val="16"/>
      <w:szCs w:val="16"/>
    </w:rPr>
  </w:style>
  <w:style w:type="paragraph" w:styleId="Poprawka">
    <w:name w:val="Revision"/>
    <w:hidden/>
    <w:uiPriority w:val="99"/>
    <w:semiHidden/>
    <w:rsid w:val="00D53AD6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0C65C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65C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39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lgorzata.cieloch@uokik.gov.pl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ziaber@ufg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fg.ufg.pl/dfg/infoport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" TargetMode="External"/><Relationship Id="rId10" Type="http://schemas.openxmlformats.org/officeDocument/2006/relationships/hyperlink" Target="https://dfg.ufg.pl/dfg/infoporta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cDetails.xsp?id=WDU20210001177" TargetMode="External"/><Relationship Id="rId14" Type="http://schemas.openxmlformats.org/officeDocument/2006/relationships/hyperlink" Target="https://www.ufg.pl/infoport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340C-B5EF-4E07-AF84-40071408206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A3C800-A3B6-467D-9CFB-4F9AE170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Urban</dc:creator>
  <cp:keywords>#[Ogólne]#</cp:keywords>
  <cp:lastModifiedBy>Anna Dymkowska</cp:lastModifiedBy>
  <cp:revision>10</cp:revision>
  <dcterms:created xsi:type="dcterms:W3CDTF">2022-06-28T13:54:00Z</dcterms:created>
  <dcterms:modified xsi:type="dcterms:W3CDTF">2022-07-01T07:00:00Z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2020-02-23T00:00:00Z</vt:filetime>
  </property>
  <property fmtid="{D5CDD505-2E9C-101B-9397-08002B2CF9AE}" pid="5" name="docIndexRef">
    <vt:lpwstr>f7fc2067-eae4-4f73-a187-dea0e070bc7e</vt:lpwstr>
  </property>
  <property fmtid="{D5CDD505-2E9C-101B-9397-08002B2CF9AE}" pid="6" name="bjSaver">
    <vt:lpwstr>THqbW6OZtc+4HRNcrUpvaSBSaXRjb4vM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8" name="bjDocumentLabelXML-0">
    <vt:lpwstr>ames.com/2008/01/sie/internal/label"&gt;&lt;element uid="43bb6f90-9fd1-4897-ac60-32a10e88c35a" value="" /&gt;&lt;/sisl&gt;</vt:lpwstr>
  </property>
  <property fmtid="{D5CDD505-2E9C-101B-9397-08002B2CF9AE}" pid="9" name="bjDocumentSecurityLabel">
    <vt:lpwstr>[ Klasyfikacja: [Ogólne]]</vt:lpwstr>
  </property>
</Properties>
</file>