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FE46" w14:textId="2F7497FB" w:rsidR="00107B28" w:rsidRDefault="00107B28" w:rsidP="00107B2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STANOWISKO PREZESA UOKIK</w:t>
      </w:r>
      <w:r w:rsidR="00177385">
        <w:rPr>
          <w:sz w:val="32"/>
          <w:szCs w:val="32"/>
        </w:rPr>
        <w:t xml:space="preserve"> W SPRAWIE TRANSAKCJI NIEAUTORYZOWANYCH</w:t>
      </w:r>
    </w:p>
    <w:p w14:paraId="176798B3" w14:textId="1D5695D3" w:rsidR="00E33B49" w:rsidRPr="00A20B9C" w:rsidRDefault="00E52289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Dostawca usług płatniczych (np. bank)</w:t>
      </w:r>
      <w:r w:rsidR="00E33B49"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 ma obowiązek </w:t>
      </w:r>
      <w:r w:rsidR="007C4596"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niezwłocznie </w:t>
      </w:r>
      <w:r w:rsidR="00F54FDE">
        <w:rPr>
          <w:rFonts w:cs="Tahoma"/>
          <w:b/>
          <w:bCs/>
          <w:color w:val="000000" w:themeColor="text1"/>
          <w:sz w:val="22"/>
          <w:lang w:eastAsia="en-GB"/>
        </w:rPr>
        <w:t>zwróci</w:t>
      </w:r>
      <w:r w:rsidR="00E33B49"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ć </w:t>
      </w:r>
      <w:r>
        <w:rPr>
          <w:rFonts w:cs="Tahoma"/>
          <w:b/>
          <w:bCs/>
          <w:color w:val="000000" w:themeColor="text1"/>
          <w:sz w:val="22"/>
          <w:lang w:eastAsia="en-GB"/>
        </w:rPr>
        <w:t>płatnikowi (np. konsumentowi)</w:t>
      </w:r>
      <w:r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E33B49"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kwotę transakcji,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jeżeli została dokonana bez </w:t>
      </w:r>
      <w:r w:rsidR="000246A2">
        <w:rPr>
          <w:rFonts w:cs="Tahoma"/>
          <w:b/>
          <w:bCs/>
          <w:color w:val="000000" w:themeColor="text1"/>
          <w:sz w:val="22"/>
          <w:lang w:eastAsia="en-GB"/>
        </w:rPr>
        <w:t xml:space="preserve">jego </w:t>
      </w:r>
      <w:r>
        <w:rPr>
          <w:rFonts w:cs="Tahoma"/>
          <w:b/>
          <w:bCs/>
          <w:color w:val="000000" w:themeColor="text1"/>
          <w:sz w:val="22"/>
          <w:lang w:eastAsia="en-GB"/>
        </w:rPr>
        <w:t>zgody</w:t>
      </w:r>
      <w:r w:rsidR="00E33B49" w:rsidRPr="00A20B9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C59D9A0" w14:textId="0C7E1429" w:rsidR="00C2398C" w:rsidRPr="00A20B9C" w:rsidRDefault="00420438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20B9C">
        <w:rPr>
          <w:rFonts w:cs="Tahoma"/>
          <w:b/>
          <w:bCs/>
          <w:color w:val="000000" w:themeColor="text1"/>
          <w:sz w:val="22"/>
          <w:lang w:eastAsia="en-GB"/>
        </w:rPr>
        <w:t>Są dw</w:t>
      </w:r>
      <w:r w:rsidR="007C4596" w:rsidRPr="00A20B9C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C4596" w:rsidRPr="00A20B9C">
        <w:rPr>
          <w:rFonts w:cs="Tahoma"/>
          <w:b/>
          <w:bCs/>
          <w:color w:val="000000" w:themeColor="text1"/>
          <w:sz w:val="22"/>
          <w:lang w:eastAsia="en-GB"/>
        </w:rPr>
        <w:t xml:space="preserve">wyjątki: uzasadnione podejrzenie próby oszustwa ze strony </w:t>
      </w:r>
      <w:r w:rsidR="00E52289">
        <w:rPr>
          <w:rFonts w:cs="Tahoma"/>
          <w:b/>
          <w:bCs/>
          <w:color w:val="000000" w:themeColor="text1"/>
          <w:sz w:val="22"/>
          <w:lang w:eastAsia="en-GB"/>
        </w:rPr>
        <w:t xml:space="preserve">płatnika </w:t>
      </w:r>
      <w:r w:rsidR="00A20B9C">
        <w:rPr>
          <w:rFonts w:cs="Tahoma"/>
          <w:b/>
          <w:bCs/>
          <w:color w:val="000000" w:themeColor="text1"/>
          <w:sz w:val="22"/>
          <w:lang w:eastAsia="en-GB"/>
        </w:rPr>
        <w:t>oraz zgłoszenie po upływie 13 miesięcy od transakcji.</w:t>
      </w:r>
    </w:p>
    <w:p w14:paraId="1DFEBDB9" w14:textId="29A755BA" w:rsidR="00107B28" w:rsidRPr="00107B28" w:rsidRDefault="00A20B9C" w:rsidP="00107B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N</w:t>
      </w:r>
      <w:r w:rsidR="00107B28">
        <w:rPr>
          <w:rFonts w:cs="Tahoma"/>
          <w:b/>
          <w:color w:val="000000" w:themeColor="text1"/>
          <w:sz w:val="22"/>
          <w:lang w:eastAsia="en-GB"/>
        </w:rPr>
        <w:t xml:space="preserve">a stronie </w:t>
      </w:r>
      <w:r w:rsidR="00107B28" w:rsidRPr="007A0602">
        <w:rPr>
          <w:rFonts w:cs="Tahoma"/>
          <w:b/>
          <w:bCs/>
          <w:color w:val="000000" w:themeColor="text1"/>
          <w:sz w:val="22"/>
          <w:lang w:eastAsia="en-GB"/>
        </w:rPr>
        <w:t>finanse.uokik.gov.pl</w:t>
      </w:r>
      <w:r w:rsidR="00107B2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opublikowaliśmy </w:t>
      </w:r>
      <w:hyperlink r:id="rId9" w:history="1">
        <w:r w:rsidRPr="001D203B">
          <w:rPr>
            <w:rStyle w:val="Hipercze"/>
            <w:rFonts w:cs="Tahoma"/>
            <w:b/>
            <w:bCs/>
            <w:sz w:val="22"/>
            <w:lang w:eastAsia="en-GB"/>
          </w:rPr>
          <w:t>stanowisko Prezesa UOKiK</w:t>
        </w:r>
      </w:hyperlink>
      <w:r w:rsidR="001D203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07B28">
        <w:rPr>
          <w:rFonts w:cs="Tahoma"/>
          <w:b/>
          <w:bCs/>
          <w:color w:val="000000" w:themeColor="text1"/>
          <w:sz w:val="22"/>
          <w:lang w:eastAsia="en-GB"/>
        </w:rPr>
        <w:t>wyjaśniające przepisy prawne dotyczące transakcji nieautoryzowanych.</w:t>
      </w:r>
    </w:p>
    <w:p w14:paraId="50C11994" w14:textId="2486DA35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D627E6">
        <w:rPr>
          <w:b/>
          <w:sz w:val="22"/>
        </w:rPr>
        <w:t>16</w:t>
      </w:r>
      <w:r w:rsidR="00986C37">
        <w:rPr>
          <w:b/>
          <w:sz w:val="22"/>
        </w:rPr>
        <w:t xml:space="preserve"> </w:t>
      </w:r>
      <w:r w:rsidR="00D7606C">
        <w:rPr>
          <w:b/>
          <w:sz w:val="22"/>
        </w:rPr>
        <w:t>li</w:t>
      </w:r>
      <w:r w:rsidR="00107B28">
        <w:rPr>
          <w:b/>
          <w:sz w:val="22"/>
        </w:rPr>
        <w:t>stopad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F54FDE">
        <w:rPr>
          <w:sz w:val="22"/>
        </w:rPr>
        <w:t xml:space="preserve">Obowiązki </w:t>
      </w:r>
      <w:r w:rsidR="00E52289">
        <w:rPr>
          <w:sz w:val="22"/>
        </w:rPr>
        <w:t>dostawc</w:t>
      </w:r>
      <w:r w:rsidR="000246A2">
        <w:rPr>
          <w:sz w:val="22"/>
        </w:rPr>
        <w:t>ów</w:t>
      </w:r>
      <w:r w:rsidR="00E52289">
        <w:rPr>
          <w:sz w:val="22"/>
        </w:rPr>
        <w:t xml:space="preserve"> usług płatniczych (m.in. banków) </w:t>
      </w:r>
      <w:r w:rsidR="00F54FDE">
        <w:rPr>
          <w:sz w:val="22"/>
        </w:rPr>
        <w:t>w sytuacji, gdy dojdzie do transakcji</w:t>
      </w:r>
      <w:r w:rsidR="00E52289">
        <w:rPr>
          <w:sz w:val="22"/>
        </w:rPr>
        <w:t xml:space="preserve"> bez zgody właściciela rachunku (transakcja </w:t>
      </w:r>
      <w:r w:rsidR="00F54FDE">
        <w:rPr>
          <w:sz w:val="22"/>
        </w:rPr>
        <w:t>nieautoryzowan</w:t>
      </w:r>
      <w:r w:rsidR="00E52289">
        <w:rPr>
          <w:sz w:val="22"/>
        </w:rPr>
        <w:t>a)</w:t>
      </w:r>
      <w:r w:rsidR="00F54FDE">
        <w:rPr>
          <w:sz w:val="22"/>
        </w:rPr>
        <w:t xml:space="preserve">, reguluje </w:t>
      </w:r>
      <w:hyperlink r:id="rId10" w:history="1">
        <w:r w:rsidR="00F54FDE" w:rsidRPr="00F54FDE">
          <w:rPr>
            <w:rStyle w:val="Hipercze"/>
            <w:sz w:val="22"/>
          </w:rPr>
          <w:t>ustawa o usługach płatniczych</w:t>
        </w:r>
      </w:hyperlink>
      <w:r w:rsidR="00F54FDE">
        <w:rPr>
          <w:sz w:val="22"/>
        </w:rPr>
        <w:t>. J</w:t>
      </w:r>
      <w:r w:rsidR="00185899">
        <w:rPr>
          <w:sz w:val="22"/>
        </w:rPr>
        <w:t>ednak</w:t>
      </w:r>
      <w:r w:rsidR="00AE0E4A">
        <w:rPr>
          <w:sz w:val="22"/>
        </w:rPr>
        <w:t>,</w:t>
      </w:r>
      <w:r w:rsidR="00185899">
        <w:rPr>
          <w:sz w:val="22"/>
        </w:rPr>
        <w:t xml:space="preserve"> j</w:t>
      </w:r>
      <w:r w:rsidR="00F54FDE">
        <w:rPr>
          <w:sz w:val="22"/>
        </w:rPr>
        <w:t>ak wynika z</w:t>
      </w:r>
      <w:r w:rsidR="00185899">
        <w:rPr>
          <w:sz w:val="22"/>
        </w:rPr>
        <w:t>e skarg konsumentów i</w:t>
      </w:r>
      <w:r w:rsidR="00F54FDE">
        <w:rPr>
          <w:sz w:val="22"/>
        </w:rPr>
        <w:t xml:space="preserve"> dotychczasowych ustaleń Urzędu Ochrony Konkurencji i Konsumentów, instytucje finansowe mają problemy z przestrzeganiem tych przepisów.</w:t>
      </w:r>
      <w:bookmarkStart w:id="0" w:name="_GoBack"/>
      <w:bookmarkEnd w:id="0"/>
      <w:r w:rsidR="00F54FDE">
        <w:rPr>
          <w:sz w:val="22"/>
        </w:rPr>
        <w:t xml:space="preserve"> Prezes UOKiK Tomasz Chróstny przygotował </w:t>
      </w:r>
      <w:hyperlink r:id="rId11" w:history="1">
        <w:r w:rsidR="00F54FDE" w:rsidRPr="001D203B">
          <w:rPr>
            <w:rStyle w:val="Hipercze"/>
            <w:sz w:val="22"/>
          </w:rPr>
          <w:t>stanowisko</w:t>
        </w:r>
      </w:hyperlink>
      <w:r w:rsidR="00F54FDE" w:rsidRPr="001D203B">
        <w:rPr>
          <w:sz w:val="22"/>
        </w:rPr>
        <w:t>,</w:t>
      </w:r>
      <w:r w:rsidR="00F54FDE">
        <w:rPr>
          <w:sz w:val="22"/>
        </w:rPr>
        <w:t xml:space="preserve"> w którym wyjaśnia kluczowe pojęcia</w:t>
      </w:r>
      <w:r w:rsidR="00D308AE">
        <w:rPr>
          <w:sz w:val="22"/>
        </w:rPr>
        <w:t xml:space="preserve"> i</w:t>
      </w:r>
      <w:r w:rsidR="00F54FDE">
        <w:rPr>
          <w:sz w:val="22"/>
        </w:rPr>
        <w:t xml:space="preserve"> kwestie prawne do</w:t>
      </w:r>
      <w:r w:rsidR="00D308AE">
        <w:rPr>
          <w:sz w:val="22"/>
        </w:rPr>
        <w:t>tyczące</w:t>
      </w:r>
      <w:r w:rsidR="00F54FDE">
        <w:rPr>
          <w:sz w:val="22"/>
        </w:rPr>
        <w:t xml:space="preserve"> transakcji, któr</w:t>
      </w:r>
      <w:r w:rsidR="00D308AE">
        <w:rPr>
          <w:sz w:val="22"/>
        </w:rPr>
        <w:t>ych</w:t>
      </w:r>
      <w:r w:rsidR="00F54FDE">
        <w:rPr>
          <w:sz w:val="22"/>
        </w:rPr>
        <w:t xml:space="preserve"> autoryzacji klient zaprzecza.</w:t>
      </w:r>
    </w:p>
    <w:p w14:paraId="1AFF2586" w14:textId="4B5BECE6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0B1D55">
        <w:rPr>
          <w:i/>
          <w:sz w:val="22"/>
        </w:rPr>
        <w:t xml:space="preserve">Zarówno przepisy krajowe, jak i unijne nie pozostawiają wątpliwości, że </w:t>
      </w:r>
      <w:r w:rsidR="00E52289">
        <w:rPr>
          <w:i/>
          <w:sz w:val="22"/>
        </w:rPr>
        <w:t>dostawc</w:t>
      </w:r>
      <w:r w:rsidR="00694D01">
        <w:rPr>
          <w:i/>
          <w:sz w:val="22"/>
        </w:rPr>
        <w:t>y</w:t>
      </w:r>
      <w:r w:rsidR="00E52289">
        <w:rPr>
          <w:i/>
          <w:sz w:val="22"/>
        </w:rPr>
        <w:t xml:space="preserve"> usług płatniczych mus</w:t>
      </w:r>
      <w:r w:rsidR="00694D01">
        <w:rPr>
          <w:i/>
          <w:sz w:val="22"/>
        </w:rPr>
        <w:t>zą</w:t>
      </w:r>
      <w:r w:rsidR="000B1D55">
        <w:rPr>
          <w:i/>
          <w:sz w:val="22"/>
        </w:rPr>
        <w:t xml:space="preserve"> niezwłocznie zwrócić </w:t>
      </w:r>
      <w:r w:rsidR="00E52289">
        <w:rPr>
          <w:i/>
          <w:sz w:val="22"/>
        </w:rPr>
        <w:t xml:space="preserve">płatnikowi </w:t>
      </w:r>
      <w:r w:rsidR="000B1D55">
        <w:rPr>
          <w:i/>
          <w:sz w:val="22"/>
        </w:rPr>
        <w:t>kwotę nieautoryzowanej transakcji. Prawo przewiduje od tej zasady tylko dwa wyjątki.</w:t>
      </w:r>
      <w:r w:rsidR="003F21FF">
        <w:rPr>
          <w:i/>
          <w:sz w:val="22"/>
        </w:rPr>
        <w:t xml:space="preserve"> Trzeba</w:t>
      </w:r>
      <w:r w:rsidR="00424CB3">
        <w:rPr>
          <w:i/>
          <w:sz w:val="22"/>
        </w:rPr>
        <w:t xml:space="preserve"> </w:t>
      </w:r>
      <w:r w:rsidR="003F21FF">
        <w:rPr>
          <w:i/>
          <w:sz w:val="22"/>
        </w:rPr>
        <w:t>podkreślić</w:t>
      </w:r>
      <w:r w:rsidR="00424CB3">
        <w:rPr>
          <w:i/>
          <w:sz w:val="22"/>
        </w:rPr>
        <w:t xml:space="preserve">, </w:t>
      </w:r>
      <w:r w:rsidR="003F21FF">
        <w:rPr>
          <w:i/>
          <w:sz w:val="22"/>
        </w:rPr>
        <w:t>ż</w:t>
      </w:r>
      <w:r w:rsidR="00424CB3">
        <w:rPr>
          <w:i/>
          <w:sz w:val="22"/>
        </w:rPr>
        <w:t xml:space="preserve">e obowiązek zwrotu </w:t>
      </w:r>
      <w:r w:rsidR="003F21FF">
        <w:rPr>
          <w:i/>
          <w:sz w:val="22"/>
        </w:rPr>
        <w:t>środków</w:t>
      </w:r>
      <w:r w:rsidR="00424CB3">
        <w:rPr>
          <w:i/>
          <w:sz w:val="22"/>
        </w:rPr>
        <w:t xml:space="preserve"> nie jest równoznaczny z odpowiedzialnością banków za transakcje</w:t>
      </w:r>
      <w:r w:rsidR="003F21FF">
        <w:rPr>
          <w:i/>
          <w:sz w:val="22"/>
        </w:rPr>
        <w:t xml:space="preserve"> nieautoryzowane,</w:t>
      </w:r>
      <w:r w:rsidR="00424CB3">
        <w:rPr>
          <w:i/>
          <w:sz w:val="22"/>
        </w:rPr>
        <w:t xml:space="preserve"> np. w przypadku gdy dojdzie </w:t>
      </w:r>
      <w:r w:rsidR="003F21FF">
        <w:rPr>
          <w:i/>
          <w:sz w:val="22"/>
        </w:rPr>
        <w:t>do nich</w:t>
      </w:r>
      <w:r w:rsidR="00424CB3">
        <w:rPr>
          <w:i/>
          <w:sz w:val="22"/>
        </w:rPr>
        <w:t xml:space="preserve"> z powodu rażącego niedbalstwa płatnika. W tej sytuacji </w:t>
      </w:r>
      <w:r w:rsidR="00694D01">
        <w:rPr>
          <w:i/>
          <w:sz w:val="22"/>
        </w:rPr>
        <w:t>dostawcy usług płatniczych</w:t>
      </w:r>
      <w:r w:rsidR="00424CB3">
        <w:rPr>
          <w:i/>
          <w:sz w:val="22"/>
        </w:rPr>
        <w:t xml:space="preserve"> mogą dochodzić od płatnika kwoty, któr</w:t>
      </w:r>
      <w:r w:rsidR="00694D01">
        <w:rPr>
          <w:i/>
          <w:sz w:val="22"/>
        </w:rPr>
        <w:t>ą</w:t>
      </w:r>
      <w:r w:rsidR="00424CB3">
        <w:rPr>
          <w:i/>
          <w:sz w:val="22"/>
        </w:rPr>
        <w:t xml:space="preserve"> uprzednio mu zwróci</w:t>
      </w:r>
      <w:r w:rsidR="00694D01">
        <w:rPr>
          <w:i/>
          <w:sz w:val="22"/>
        </w:rPr>
        <w:t>li</w:t>
      </w:r>
      <w:r w:rsidR="00424CB3">
        <w:rPr>
          <w:i/>
          <w:sz w:val="22"/>
        </w:rPr>
        <w:t xml:space="preserve">. </w:t>
      </w:r>
      <w:r w:rsidR="00177385">
        <w:rPr>
          <w:i/>
          <w:sz w:val="22"/>
        </w:rPr>
        <w:t xml:space="preserve">Ta kwestia została szczegółowo opisana w opublikowanym stanowisku </w:t>
      </w:r>
      <w:r>
        <w:rPr>
          <w:sz w:val="22"/>
        </w:rPr>
        <w:t>– mówi Tomasz Chróstny, Prezes U</w:t>
      </w:r>
      <w:r w:rsidR="000B1D55">
        <w:rPr>
          <w:sz w:val="22"/>
        </w:rPr>
        <w:t>OKiK</w:t>
      </w:r>
      <w:r>
        <w:rPr>
          <w:sz w:val="22"/>
        </w:rPr>
        <w:t>.</w:t>
      </w:r>
    </w:p>
    <w:p w14:paraId="494F4897" w14:textId="77777777" w:rsidR="00A13244" w:rsidRPr="00D47CCF" w:rsidRDefault="00AD6B0A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Obowiązek banków</w:t>
      </w:r>
    </w:p>
    <w:p w14:paraId="01A0AA91" w14:textId="3D604353" w:rsidR="00AD6B0A" w:rsidRDefault="007350C0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Zgodnie z art. 46 ustawy o usługach płatniczych </w:t>
      </w:r>
      <w:r w:rsidR="00E52289">
        <w:rPr>
          <w:sz w:val="22"/>
        </w:rPr>
        <w:t>dostawca u</w:t>
      </w:r>
      <w:r w:rsidR="00424CB3">
        <w:rPr>
          <w:sz w:val="22"/>
        </w:rPr>
        <w:t>s</w:t>
      </w:r>
      <w:r w:rsidR="00E52289">
        <w:rPr>
          <w:sz w:val="22"/>
        </w:rPr>
        <w:t>ł</w:t>
      </w:r>
      <w:r w:rsidR="00424CB3">
        <w:rPr>
          <w:sz w:val="22"/>
        </w:rPr>
        <w:t>u</w:t>
      </w:r>
      <w:r w:rsidR="00E52289">
        <w:rPr>
          <w:sz w:val="22"/>
        </w:rPr>
        <w:t xml:space="preserve">gi płatniczej (m.in. bank) </w:t>
      </w:r>
      <w:r>
        <w:rPr>
          <w:sz w:val="22"/>
        </w:rPr>
        <w:t>mus</w:t>
      </w:r>
      <w:r w:rsidR="003C00B3">
        <w:rPr>
          <w:sz w:val="22"/>
        </w:rPr>
        <w:t>i</w:t>
      </w:r>
      <w:r>
        <w:rPr>
          <w:sz w:val="22"/>
        </w:rPr>
        <w:t xml:space="preserve"> zwrócić </w:t>
      </w:r>
      <w:r w:rsidR="00E52289">
        <w:rPr>
          <w:sz w:val="22"/>
        </w:rPr>
        <w:t>p</w:t>
      </w:r>
      <w:r w:rsidR="00424CB3">
        <w:rPr>
          <w:sz w:val="22"/>
        </w:rPr>
        <w:t>ł</w:t>
      </w:r>
      <w:r w:rsidR="00E52289">
        <w:rPr>
          <w:sz w:val="22"/>
        </w:rPr>
        <w:t>atnikowi</w:t>
      </w:r>
      <w:r>
        <w:rPr>
          <w:sz w:val="22"/>
        </w:rPr>
        <w:t xml:space="preserve"> kwotę transakcji, któr</w:t>
      </w:r>
      <w:r w:rsidR="008174F4">
        <w:rPr>
          <w:sz w:val="22"/>
        </w:rPr>
        <w:t xml:space="preserve">ej autoryzacji ten zaprzecza. Ma na to czas do końca następnego dnia roboczego po zgłoszeniu. Z tego obowiązku </w:t>
      </w:r>
      <w:r w:rsidR="006D06D1">
        <w:rPr>
          <w:sz w:val="22"/>
        </w:rPr>
        <w:t xml:space="preserve">bank </w:t>
      </w:r>
      <w:r w:rsidR="003C00B3">
        <w:rPr>
          <w:sz w:val="22"/>
        </w:rPr>
        <w:t>jest</w:t>
      </w:r>
      <w:r w:rsidR="008174F4">
        <w:rPr>
          <w:sz w:val="22"/>
        </w:rPr>
        <w:t xml:space="preserve"> zwolnion</w:t>
      </w:r>
      <w:r w:rsidR="006D06D1">
        <w:rPr>
          <w:sz w:val="22"/>
        </w:rPr>
        <w:t>y</w:t>
      </w:r>
      <w:r w:rsidR="008174F4">
        <w:rPr>
          <w:sz w:val="22"/>
        </w:rPr>
        <w:t xml:space="preserve"> tylko w dwóch sytuacjach:</w:t>
      </w:r>
    </w:p>
    <w:p w14:paraId="0BBC2AC3" w14:textId="2BC31931" w:rsidR="003C00B3" w:rsidRDefault="00694D01" w:rsidP="003C00B3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płatnik </w:t>
      </w:r>
      <w:r w:rsidR="003C00B3">
        <w:rPr>
          <w:sz w:val="22"/>
        </w:rPr>
        <w:t>zgłosił nieautoryzowaną transakcję po upływie 13 miesięcy od jej dokonania – w t</w:t>
      </w:r>
      <w:r w:rsidR="00AE0E4A">
        <w:rPr>
          <w:sz w:val="22"/>
        </w:rPr>
        <w:t>y</w:t>
      </w:r>
      <w:r w:rsidR="003C00B3">
        <w:rPr>
          <w:sz w:val="22"/>
        </w:rPr>
        <w:t xml:space="preserve">m przypadku </w:t>
      </w:r>
      <w:r w:rsidR="006D06D1">
        <w:rPr>
          <w:sz w:val="22"/>
        </w:rPr>
        <w:t xml:space="preserve">jego </w:t>
      </w:r>
      <w:r w:rsidR="003C00B3">
        <w:rPr>
          <w:sz w:val="22"/>
        </w:rPr>
        <w:t>roszczenie wygasa,</w:t>
      </w:r>
    </w:p>
    <w:p w14:paraId="4CC12327" w14:textId="7D8FF14F" w:rsidR="003C00B3" w:rsidRPr="003C00B3" w:rsidRDefault="00694D01" w:rsidP="00A0333B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dostawca usług płatniczych</w:t>
      </w:r>
      <w:r w:rsidRPr="003C00B3">
        <w:rPr>
          <w:sz w:val="22"/>
        </w:rPr>
        <w:t xml:space="preserve"> </w:t>
      </w:r>
      <w:r w:rsidR="003C00B3" w:rsidRPr="003C00B3">
        <w:rPr>
          <w:sz w:val="22"/>
        </w:rPr>
        <w:t xml:space="preserve">zawiadomił </w:t>
      </w:r>
      <w:r w:rsidR="003C00B3">
        <w:rPr>
          <w:sz w:val="22"/>
        </w:rPr>
        <w:t xml:space="preserve">na piśmie </w:t>
      </w:r>
      <w:r w:rsidR="006D06D1">
        <w:rPr>
          <w:sz w:val="22"/>
        </w:rPr>
        <w:t>policję lub prokuraturę</w:t>
      </w:r>
      <w:r w:rsidR="003C00B3">
        <w:rPr>
          <w:sz w:val="22"/>
        </w:rPr>
        <w:t>, że</w:t>
      </w:r>
      <w:r w:rsidR="003C00B3" w:rsidRPr="003C00B3">
        <w:rPr>
          <w:sz w:val="22"/>
        </w:rPr>
        <w:t xml:space="preserve"> ma uzasadnione i udokumentowane podejrzenie, że konsument</w:t>
      </w:r>
      <w:r>
        <w:rPr>
          <w:sz w:val="22"/>
        </w:rPr>
        <w:t xml:space="preserve"> poprzez nieprawdziwe zgłoszenie i żądanie zwrotu kwoty transakcji</w:t>
      </w:r>
      <w:r w:rsidR="003C00B3" w:rsidRPr="003C00B3">
        <w:rPr>
          <w:sz w:val="22"/>
        </w:rPr>
        <w:t xml:space="preserve"> próbuje dokonać oszustwa</w:t>
      </w:r>
      <w:r w:rsidR="007C7136">
        <w:rPr>
          <w:sz w:val="22"/>
        </w:rPr>
        <w:t xml:space="preserve"> – w tej sytuacji </w:t>
      </w:r>
      <w:r w:rsidR="00FC34EE">
        <w:rPr>
          <w:sz w:val="22"/>
        </w:rPr>
        <w:t>obowiązek zwrotu zostaje zawieszony do czasu ustalenia</w:t>
      </w:r>
      <w:r w:rsidR="006D06D1">
        <w:rPr>
          <w:sz w:val="22"/>
        </w:rPr>
        <w:t xml:space="preserve"> przez odpowiednie organy</w:t>
      </w:r>
      <w:r w:rsidR="00FC34EE">
        <w:rPr>
          <w:sz w:val="22"/>
        </w:rPr>
        <w:t>, jak było naprawdę</w:t>
      </w:r>
      <w:r w:rsidR="003C00B3" w:rsidRPr="003C00B3">
        <w:rPr>
          <w:sz w:val="22"/>
        </w:rPr>
        <w:t>.</w:t>
      </w:r>
    </w:p>
    <w:p w14:paraId="286E69DF" w14:textId="77777777" w:rsidR="00AD6B0A" w:rsidRPr="00AD6B0A" w:rsidRDefault="00AD6B0A" w:rsidP="00AD6B0A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U</w:t>
      </w:r>
      <w:r w:rsidRPr="00AD6B0A">
        <w:rPr>
          <w:rFonts w:cs="Tahoma"/>
          <w:b/>
          <w:bCs/>
          <w:sz w:val="22"/>
          <w:lang w:eastAsia="pl-PL"/>
        </w:rPr>
        <w:t xml:space="preserve">wierzytelnienie </w:t>
      </w:r>
      <w:r>
        <w:rPr>
          <w:rFonts w:cs="Tahoma"/>
          <w:b/>
          <w:bCs/>
          <w:sz w:val="22"/>
          <w:lang w:eastAsia="pl-PL"/>
        </w:rPr>
        <w:t>to nie</w:t>
      </w:r>
      <w:r w:rsidRPr="00AD6B0A">
        <w:rPr>
          <w:rFonts w:cs="Tahoma"/>
          <w:b/>
          <w:bCs/>
          <w:sz w:val="22"/>
          <w:lang w:eastAsia="pl-PL"/>
        </w:rPr>
        <w:t xml:space="preserve"> autoryzacj</w:t>
      </w:r>
      <w:r>
        <w:rPr>
          <w:rFonts w:cs="Tahoma"/>
          <w:b/>
          <w:bCs/>
          <w:sz w:val="22"/>
          <w:lang w:eastAsia="pl-PL"/>
        </w:rPr>
        <w:t>a</w:t>
      </w:r>
    </w:p>
    <w:p w14:paraId="2EE051F3" w14:textId="77777777" w:rsidR="00AD6B0A" w:rsidRDefault="006D06D1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Banki w odpowiedziach na zgłoszenia konsumentów </w:t>
      </w:r>
      <w:r w:rsidR="00AE0E4A">
        <w:rPr>
          <w:sz w:val="22"/>
        </w:rPr>
        <w:t xml:space="preserve">często </w:t>
      </w:r>
      <w:r>
        <w:rPr>
          <w:sz w:val="22"/>
        </w:rPr>
        <w:t>twierdzą, że uwierzytelnienie przebiegło prawidłowo, więc w ich ocenie nie muszą przywracać konta konsumenta do stanu sprzed nieautoryzowanej transakcji. To wprowadzanie konsumentów w błąd. Pojęcia uwierzytelnienie i autoryzacja nie są tożsame, a różnica między nimi jest k</w:t>
      </w:r>
      <w:r w:rsidR="007C7136">
        <w:rPr>
          <w:sz w:val="22"/>
        </w:rPr>
        <w:t>luczow</w:t>
      </w:r>
      <w:r>
        <w:rPr>
          <w:sz w:val="22"/>
        </w:rPr>
        <w:t>a</w:t>
      </w:r>
      <w:r w:rsidR="007C7136">
        <w:rPr>
          <w:sz w:val="22"/>
        </w:rPr>
        <w:t xml:space="preserve"> dla interpretacji </w:t>
      </w:r>
      <w:r>
        <w:rPr>
          <w:sz w:val="22"/>
        </w:rPr>
        <w:t xml:space="preserve">przepisów. </w:t>
      </w:r>
    </w:p>
    <w:p w14:paraId="2415A7EB" w14:textId="42731388" w:rsidR="00BD327B" w:rsidRPr="00BD327B" w:rsidRDefault="00BD327B" w:rsidP="0090613C">
      <w:pPr>
        <w:spacing w:after="100" w:afterAutospacing="1" w:line="372" w:lineRule="auto"/>
        <w:jc w:val="both"/>
        <w:rPr>
          <w:sz w:val="22"/>
        </w:rPr>
      </w:pPr>
      <w:r w:rsidRPr="00BD327B">
        <w:rPr>
          <w:b/>
          <w:sz w:val="22"/>
        </w:rPr>
        <w:t>Autoryzacja</w:t>
      </w:r>
      <w:r w:rsidRPr="00BD327B">
        <w:rPr>
          <w:sz w:val="22"/>
        </w:rPr>
        <w:t xml:space="preserve"> jest to osobiste wyrażenie przez klienta zgody na dokonanie transakcji</w:t>
      </w:r>
      <w:r>
        <w:rPr>
          <w:sz w:val="22"/>
        </w:rPr>
        <w:t>, np. polecenia przelewu</w:t>
      </w:r>
      <w:r w:rsidRPr="00BD327B">
        <w:rPr>
          <w:sz w:val="22"/>
        </w:rPr>
        <w:t>.</w:t>
      </w:r>
      <w:r>
        <w:rPr>
          <w:sz w:val="22"/>
        </w:rPr>
        <w:t xml:space="preserve"> Natomiast </w:t>
      </w:r>
      <w:r w:rsidRPr="00BD327B">
        <w:rPr>
          <w:b/>
          <w:sz w:val="22"/>
        </w:rPr>
        <w:t>uwierzytelnienie</w:t>
      </w:r>
      <w:r w:rsidRPr="00BD327B">
        <w:rPr>
          <w:sz w:val="22"/>
        </w:rPr>
        <w:t xml:space="preserve"> </w:t>
      </w:r>
      <w:r>
        <w:rPr>
          <w:sz w:val="22"/>
        </w:rPr>
        <w:t xml:space="preserve">to </w:t>
      </w:r>
      <w:r w:rsidRPr="00BD327B">
        <w:rPr>
          <w:sz w:val="22"/>
        </w:rPr>
        <w:t>czynność techniczna, np. podanie PIN lub inny sposób wskazany w systemie bankowym wynikający z umowy.</w:t>
      </w:r>
      <w:r>
        <w:rPr>
          <w:sz w:val="22"/>
        </w:rPr>
        <w:t xml:space="preserve"> </w:t>
      </w:r>
      <w:r w:rsidR="0090613C" w:rsidRPr="00AE0E4A">
        <w:rPr>
          <w:b/>
          <w:sz w:val="22"/>
        </w:rPr>
        <w:t>Konieczne jest więc wystąpienie łącznie dwóch</w:t>
      </w:r>
      <w:r w:rsidRPr="00AE0E4A">
        <w:rPr>
          <w:b/>
          <w:sz w:val="22"/>
        </w:rPr>
        <w:t xml:space="preserve"> </w:t>
      </w:r>
      <w:r w:rsidR="0090613C" w:rsidRPr="00AE0E4A">
        <w:rPr>
          <w:b/>
          <w:sz w:val="22"/>
        </w:rPr>
        <w:t>elementów:</w:t>
      </w:r>
      <w:r w:rsidRPr="00AE0E4A">
        <w:rPr>
          <w:b/>
          <w:sz w:val="22"/>
        </w:rPr>
        <w:t xml:space="preserve"> uwierzytelnieni</w:t>
      </w:r>
      <w:r w:rsidR="0090613C" w:rsidRPr="00AE0E4A">
        <w:rPr>
          <w:b/>
          <w:sz w:val="22"/>
        </w:rPr>
        <w:t>a</w:t>
      </w:r>
      <w:r w:rsidRPr="00AE0E4A">
        <w:rPr>
          <w:b/>
          <w:sz w:val="22"/>
        </w:rPr>
        <w:t xml:space="preserve"> i wol</w:t>
      </w:r>
      <w:r w:rsidR="0090613C" w:rsidRPr="00AE0E4A">
        <w:rPr>
          <w:b/>
          <w:sz w:val="22"/>
        </w:rPr>
        <w:t>i</w:t>
      </w:r>
      <w:r w:rsidRPr="00AE0E4A">
        <w:rPr>
          <w:b/>
          <w:sz w:val="22"/>
        </w:rPr>
        <w:t xml:space="preserve"> konsumenta do dokonania transakcji.</w:t>
      </w:r>
      <w:r w:rsidRPr="00BD327B">
        <w:rPr>
          <w:sz w:val="22"/>
        </w:rPr>
        <w:t xml:space="preserve"> </w:t>
      </w:r>
      <w:r w:rsidR="0090613C">
        <w:rPr>
          <w:sz w:val="22"/>
        </w:rPr>
        <w:t xml:space="preserve">Przykładowo przelew </w:t>
      </w:r>
      <w:r w:rsidR="00AE0E4A">
        <w:rPr>
          <w:sz w:val="22"/>
        </w:rPr>
        <w:t>zrobion</w:t>
      </w:r>
      <w:r w:rsidR="0090613C">
        <w:rPr>
          <w:sz w:val="22"/>
        </w:rPr>
        <w:t xml:space="preserve">y przez oszusta z wykorzystaniem pozyskanych nielegalnie </w:t>
      </w:r>
      <w:r w:rsidRPr="00BD327B">
        <w:rPr>
          <w:sz w:val="22"/>
        </w:rPr>
        <w:t xml:space="preserve">danych logowania do bankowości elektronicznej </w:t>
      </w:r>
      <w:r w:rsidR="0090613C">
        <w:rPr>
          <w:sz w:val="22"/>
        </w:rPr>
        <w:t>konsumenta</w:t>
      </w:r>
      <w:r w:rsidRPr="00BD327B">
        <w:rPr>
          <w:sz w:val="22"/>
        </w:rPr>
        <w:t xml:space="preserve"> nie jest </w:t>
      </w:r>
      <w:r w:rsidR="0090613C">
        <w:rPr>
          <w:sz w:val="22"/>
        </w:rPr>
        <w:t xml:space="preserve">transakcją </w:t>
      </w:r>
      <w:r w:rsidRPr="00BD327B">
        <w:rPr>
          <w:sz w:val="22"/>
        </w:rPr>
        <w:t>autoryzowan</w:t>
      </w:r>
      <w:r w:rsidR="0090613C">
        <w:rPr>
          <w:sz w:val="22"/>
        </w:rPr>
        <w:t>ą, bo</w:t>
      </w:r>
      <w:r w:rsidRPr="00BD327B">
        <w:rPr>
          <w:sz w:val="22"/>
        </w:rPr>
        <w:t xml:space="preserve"> </w:t>
      </w:r>
      <w:r w:rsidR="0090613C">
        <w:rPr>
          <w:sz w:val="22"/>
        </w:rPr>
        <w:t>odbył się bez zgody właściciela konta</w:t>
      </w:r>
      <w:r w:rsidRPr="00BD327B">
        <w:rPr>
          <w:sz w:val="22"/>
        </w:rPr>
        <w:t xml:space="preserve">. </w:t>
      </w:r>
    </w:p>
    <w:p w14:paraId="6DD7AC53" w14:textId="2A251E4B" w:rsidR="00BD327B" w:rsidRDefault="0090613C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Także </w:t>
      </w:r>
      <w:hyperlink r:id="rId12" w:history="1">
        <w:r w:rsidR="0057218C" w:rsidRPr="0057218C">
          <w:rPr>
            <w:rStyle w:val="Hipercze"/>
            <w:sz w:val="22"/>
          </w:rPr>
          <w:t>Dyrektywa Parlamentu Europejskiego i Rady (UE) 2015/2366 w sprawie usług płatniczych w ramach rynku wewnętrznego</w:t>
        </w:r>
      </w:hyperlink>
      <w:r w:rsidR="00694D01">
        <w:rPr>
          <w:rStyle w:val="Hipercze"/>
          <w:sz w:val="22"/>
        </w:rPr>
        <w:t xml:space="preserve"> (PSD2)</w:t>
      </w:r>
      <w:r w:rsidR="0057218C">
        <w:rPr>
          <w:sz w:val="22"/>
        </w:rPr>
        <w:t xml:space="preserve"> w art. 64 kładzie nacisk na to, aby transakcję uznawano za autoryzowaną tylko pod warunkiem udzielenia przez płatnika zgody na jej wykonanie. </w:t>
      </w:r>
    </w:p>
    <w:p w14:paraId="05FAD0B6" w14:textId="7A0D6EFF" w:rsidR="002B3A36" w:rsidRDefault="002B3A36" w:rsidP="002B3A36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 sytuacji gdy konsument zaprzecza autoryzacji transakcji, obowiązek udowodnienia, że jest inaczej</w:t>
      </w:r>
      <w:r w:rsidR="00B35FB9">
        <w:rPr>
          <w:sz w:val="22"/>
        </w:rPr>
        <w:t>,</w:t>
      </w:r>
      <w:r>
        <w:rPr>
          <w:sz w:val="22"/>
        </w:rPr>
        <w:t xml:space="preserve"> spoczywa na banku. Przy czym art. 45 ust. 1 ustawy o usługach płatniczych precyzuje, że nie wystarczy do tego samo wykazanie prawidłowości uwierzytelnienia. Potwierdza to orzecznictwo sądów, np. wyrok Sądu Okręgowego w Warszawie z 11 sierpnia 2021 r. (sygn. akt XXVII Ca 1352/21).</w:t>
      </w:r>
    </w:p>
    <w:p w14:paraId="2B492A58" w14:textId="77777777" w:rsidR="00AD6B0A" w:rsidRPr="00AD6B0A" w:rsidRDefault="00AD6B0A" w:rsidP="00AD6B0A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AD6B0A">
        <w:rPr>
          <w:rFonts w:cs="Tahoma"/>
          <w:b/>
          <w:bCs/>
          <w:sz w:val="22"/>
          <w:lang w:eastAsia="pl-PL"/>
        </w:rPr>
        <w:lastRenderedPageBreak/>
        <w:t>Działania UOKiK</w:t>
      </w:r>
    </w:p>
    <w:p w14:paraId="30EA2A3E" w14:textId="77777777" w:rsidR="0092527D" w:rsidRDefault="0092527D" w:rsidP="0092527D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</w:t>
      </w:r>
      <w:r w:rsidR="00D308AE">
        <w:rPr>
          <w:sz w:val="22"/>
        </w:rPr>
        <w:t>od lipca 2021 r.</w:t>
      </w:r>
      <w:r>
        <w:rPr>
          <w:sz w:val="22"/>
        </w:rPr>
        <w:t xml:space="preserve"> prowadzi </w:t>
      </w:r>
      <w:hyperlink r:id="rId13" w:history="1">
        <w:r w:rsidRPr="00F76636">
          <w:rPr>
            <w:rStyle w:val="Hipercze"/>
            <w:sz w:val="22"/>
          </w:rPr>
          <w:t>postępowania wyjaśniające</w:t>
        </w:r>
      </w:hyperlink>
      <w:r>
        <w:rPr>
          <w:sz w:val="22"/>
        </w:rPr>
        <w:t xml:space="preserve">, w których sprawdza, jak banki </w:t>
      </w:r>
      <w:r w:rsidR="00AE0E4A">
        <w:rPr>
          <w:sz w:val="22"/>
        </w:rPr>
        <w:t>zachowują się</w:t>
      </w:r>
      <w:r>
        <w:rPr>
          <w:sz w:val="22"/>
        </w:rPr>
        <w:t xml:space="preserve"> w przypadku zgłoszenia przez konsumentów, że doszło do </w:t>
      </w:r>
      <w:r w:rsidR="00AE0E4A">
        <w:rPr>
          <w:sz w:val="22"/>
        </w:rPr>
        <w:t xml:space="preserve">nieautoryzowanych </w:t>
      </w:r>
      <w:r>
        <w:rPr>
          <w:sz w:val="22"/>
        </w:rPr>
        <w:t xml:space="preserve">transakcji. </w:t>
      </w:r>
      <w:hyperlink r:id="rId14" w:history="1">
        <w:r w:rsidR="00AE0E4A">
          <w:rPr>
            <w:rStyle w:val="Hipercze"/>
            <w:sz w:val="22"/>
          </w:rPr>
          <w:t>Pięć</w:t>
        </w:r>
        <w:r w:rsidRPr="00F76636">
          <w:rPr>
            <w:rStyle w:val="Hipercze"/>
            <w:sz w:val="22"/>
          </w:rPr>
          <w:t xml:space="preserve"> banków ma już postawione zarzuty</w:t>
        </w:r>
      </w:hyperlink>
      <w:r>
        <w:rPr>
          <w:sz w:val="22"/>
        </w:rPr>
        <w:t xml:space="preserve"> naruszania zbiorowych interesów konsumentów w tej sytuacji.</w:t>
      </w:r>
    </w:p>
    <w:p w14:paraId="22634FD0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6F99662" w14:textId="77777777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7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sectPr w:rsidR="00B075C5" w:rsidSect="00177385">
      <w:headerReference w:type="default" r:id="rId18"/>
      <w:footerReference w:type="default" r:id="rId19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803E1" w14:textId="77777777" w:rsidR="00CF18A1" w:rsidRDefault="00CF18A1">
      <w:r>
        <w:separator/>
      </w:r>
    </w:p>
  </w:endnote>
  <w:endnote w:type="continuationSeparator" w:id="0">
    <w:p w14:paraId="3E964083" w14:textId="77777777" w:rsidR="00CF18A1" w:rsidRDefault="00CF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61C9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912E2D" wp14:editId="53A5586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FE31D6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61E0" w14:textId="77777777" w:rsidR="00CF18A1" w:rsidRDefault="00CF18A1">
      <w:r>
        <w:separator/>
      </w:r>
    </w:p>
  </w:footnote>
  <w:footnote w:type="continuationSeparator" w:id="0">
    <w:p w14:paraId="31962615" w14:textId="77777777" w:rsidR="00CF18A1" w:rsidRDefault="00CF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D77A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8D706CB" wp14:editId="4C2C8904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94A"/>
    <w:multiLevelType w:val="hybridMultilevel"/>
    <w:tmpl w:val="10F4B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550F"/>
    <w:multiLevelType w:val="hybridMultilevel"/>
    <w:tmpl w:val="D4B01E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32E4A"/>
    <w:multiLevelType w:val="hybridMultilevel"/>
    <w:tmpl w:val="19B6AF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46A2"/>
    <w:rsid w:val="0002523D"/>
    <w:rsid w:val="00042F96"/>
    <w:rsid w:val="000651E9"/>
    <w:rsid w:val="00073AA7"/>
    <w:rsid w:val="000A74FA"/>
    <w:rsid w:val="000B149D"/>
    <w:rsid w:val="000B1AC5"/>
    <w:rsid w:val="000B1D55"/>
    <w:rsid w:val="000B7247"/>
    <w:rsid w:val="000C6284"/>
    <w:rsid w:val="0010559C"/>
    <w:rsid w:val="00107844"/>
    <w:rsid w:val="00107B28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7385"/>
    <w:rsid w:val="00185899"/>
    <w:rsid w:val="00190D5A"/>
    <w:rsid w:val="001979B5"/>
    <w:rsid w:val="001A5F7C"/>
    <w:rsid w:val="001A6E5B"/>
    <w:rsid w:val="001A7451"/>
    <w:rsid w:val="001B7C65"/>
    <w:rsid w:val="001C1FAD"/>
    <w:rsid w:val="001D203B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95B46"/>
    <w:rsid w:val="002A5D69"/>
    <w:rsid w:val="002B1DBF"/>
    <w:rsid w:val="002B3A36"/>
    <w:rsid w:val="002B51EB"/>
    <w:rsid w:val="002C0D5D"/>
    <w:rsid w:val="002C692D"/>
    <w:rsid w:val="002C6ABE"/>
    <w:rsid w:val="002E388C"/>
    <w:rsid w:val="002F1BF3"/>
    <w:rsid w:val="002F4D43"/>
    <w:rsid w:val="003056C6"/>
    <w:rsid w:val="00306F9C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C00B3"/>
    <w:rsid w:val="003D3FF4"/>
    <w:rsid w:val="003D6216"/>
    <w:rsid w:val="003D7161"/>
    <w:rsid w:val="003E3F9D"/>
    <w:rsid w:val="003E69E5"/>
    <w:rsid w:val="003F21FF"/>
    <w:rsid w:val="0040748E"/>
    <w:rsid w:val="00412206"/>
    <w:rsid w:val="00420438"/>
    <w:rsid w:val="00424CB3"/>
    <w:rsid w:val="00427E08"/>
    <w:rsid w:val="004349BA"/>
    <w:rsid w:val="0043575C"/>
    <w:rsid w:val="004365C7"/>
    <w:rsid w:val="004425B7"/>
    <w:rsid w:val="00444A85"/>
    <w:rsid w:val="00462CFA"/>
    <w:rsid w:val="00467EAD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05E3"/>
    <w:rsid w:val="005133CE"/>
    <w:rsid w:val="00521BA3"/>
    <w:rsid w:val="00523E0D"/>
    <w:rsid w:val="00525588"/>
    <w:rsid w:val="0052710E"/>
    <w:rsid w:val="005442FC"/>
    <w:rsid w:val="0055631D"/>
    <w:rsid w:val="0057218C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1708B"/>
    <w:rsid w:val="00633D4E"/>
    <w:rsid w:val="0063526F"/>
    <w:rsid w:val="00637E86"/>
    <w:rsid w:val="006422DE"/>
    <w:rsid w:val="006439FA"/>
    <w:rsid w:val="006640AA"/>
    <w:rsid w:val="006673F6"/>
    <w:rsid w:val="0067485D"/>
    <w:rsid w:val="00694D01"/>
    <w:rsid w:val="006A2065"/>
    <w:rsid w:val="006A3D88"/>
    <w:rsid w:val="006A4A7A"/>
    <w:rsid w:val="006B0848"/>
    <w:rsid w:val="006B733D"/>
    <w:rsid w:val="006C34AE"/>
    <w:rsid w:val="006C67AF"/>
    <w:rsid w:val="006D06D1"/>
    <w:rsid w:val="006D3DC5"/>
    <w:rsid w:val="006F143B"/>
    <w:rsid w:val="00703785"/>
    <w:rsid w:val="007039EC"/>
    <w:rsid w:val="0071572D"/>
    <w:rsid w:val="007157BA"/>
    <w:rsid w:val="007169F9"/>
    <w:rsid w:val="007174A6"/>
    <w:rsid w:val="007224B3"/>
    <w:rsid w:val="007249EA"/>
    <w:rsid w:val="00731303"/>
    <w:rsid w:val="007350C0"/>
    <w:rsid w:val="007402E0"/>
    <w:rsid w:val="0074489D"/>
    <w:rsid w:val="00746549"/>
    <w:rsid w:val="007466CD"/>
    <w:rsid w:val="007514AD"/>
    <w:rsid w:val="0075524D"/>
    <w:rsid w:val="007560B0"/>
    <w:rsid w:val="007627D7"/>
    <w:rsid w:val="00776C4F"/>
    <w:rsid w:val="007838E4"/>
    <w:rsid w:val="007846DC"/>
    <w:rsid w:val="007A19D8"/>
    <w:rsid w:val="007C4596"/>
    <w:rsid w:val="007C7136"/>
    <w:rsid w:val="007E36E4"/>
    <w:rsid w:val="007F0ACE"/>
    <w:rsid w:val="00800F0E"/>
    <w:rsid w:val="00804024"/>
    <w:rsid w:val="008174F4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0613C"/>
    <w:rsid w:val="0091048E"/>
    <w:rsid w:val="00924ABC"/>
    <w:rsid w:val="0092527D"/>
    <w:rsid w:val="00940E8F"/>
    <w:rsid w:val="0095309C"/>
    <w:rsid w:val="009652F2"/>
    <w:rsid w:val="009719ED"/>
    <w:rsid w:val="00986C37"/>
    <w:rsid w:val="00997528"/>
    <w:rsid w:val="0099796A"/>
    <w:rsid w:val="009B3C8E"/>
    <w:rsid w:val="009C1346"/>
    <w:rsid w:val="009D05C8"/>
    <w:rsid w:val="009E3C0B"/>
    <w:rsid w:val="009E558C"/>
    <w:rsid w:val="00A13244"/>
    <w:rsid w:val="00A20B9C"/>
    <w:rsid w:val="00A239AA"/>
    <w:rsid w:val="00A439E8"/>
    <w:rsid w:val="00A45753"/>
    <w:rsid w:val="00A53423"/>
    <w:rsid w:val="00A62659"/>
    <w:rsid w:val="00A63399"/>
    <w:rsid w:val="00A65F20"/>
    <w:rsid w:val="00A76293"/>
    <w:rsid w:val="00A77901"/>
    <w:rsid w:val="00A77DA2"/>
    <w:rsid w:val="00A85D9D"/>
    <w:rsid w:val="00A92C4C"/>
    <w:rsid w:val="00AA602D"/>
    <w:rsid w:val="00AB572D"/>
    <w:rsid w:val="00AD6B0A"/>
    <w:rsid w:val="00AE0E4A"/>
    <w:rsid w:val="00AE2923"/>
    <w:rsid w:val="00AE7F9D"/>
    <w:rsid w:val="00AF1794"/>
    <w:rsid w:val="00B028F7"/>
    <w:rsid w:val="00B075C5"/>
    <w:rsid w:val="00B22863"/>
    <w:rsid w:val="00B35FB9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9441F"/>
    <w:rsid w:val="00BA26F7"/>
    <w:rsid w:val="00BA79F0"/>
    <w:rsid w:val="00BB5068"/>
    <w:rsid w:val="00BB7AE8"/>
    <w:rsid w:val="00BD0481"/>
    <w:rsid w:val="00BD327B"/>
    <w:rsid w:val="00BD4447"/>
    <w:rsid w:val="00BE2623"/>
    <w:rsid w:val="00BE3923"/>
    <w:rsid w:val="00BE4BF0"/>
    <w:rsid w:val="00BE5EE5"/>
    <w:rsid w:val="00BE68EE"/>
    <w:rsid w:val="00BE7F63"/>
    <w:rsid w:val="00BF0259"/>
    <w:rsid w:val="00BF45FB"/>
    <w:rsid w:val="00C123B1"/>
    <w:rsid w:val="00C21071"/>
    <w:rsid w:val="00C2398C"/>
    <w:rsid w:val="00C25569"/>
    <w:rsid w:val="00C27366"/>
    <w:rsid w:val="00C63AA8"/>
    <w:rsid w:val="00C74FBA"/>
    <w:rsid w:val="00C7783C"/>
    <w:rsid w:val="00C81210"/>
    <w:rsid w:val="00CA6B58"/>
    <w:rsid w:val="00CB1AE6"/>
    <w:rsid w:val="00CB3ED4"/>
    <w:rsid w:val="00CB3F86"/>
    <w:rsid w:val="00CD34F0"/>
    <w:rsid w:val="00CD4AF1"/>
    <w:rsid w:val="00CE0954"/>
    <w:rsid w:val="00CF11F7"/>
    <w:rsid w:val="00CF18A1"/>
    <w:rsid w:val="00D1323F"/>
    <w:rsid w:val="00D202BA"/>
    <w:rsid w:val="00D251AC"/>
    <w:rsid w:val="00D308AE"/>
    <w:rsid w:val="00D43766"/>
    <w:rsid w:val="00D47CCF"/>
    <w:rsid w:val="00D57BE6"/>
    <w:rsid w:val="00D627E6"/>
    <w:rsid w:val="00D6457B"/>
    <w:rsid w:val="00D66DEC"/>
    <w:rsid w:val="00D71A41"/>
    <w:rsid w:val="00D7606C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33B49"/>
    <w:rsid w:val="00E42093"/>
    <w:rsid w:val="00E52289"/>
    <w:rsid w:val="00E522AD"/>
    <w:rsid w:val="00E64103"/>
    <w:rsid w:val="00E76CD1"/>
    <w:rsid w:val="00EC0B94"/>
    <w:rsid w:val="00EE4AD8"/>
    <w:rsid w:val="00F139AC"/>
    <w:rsid w:val="00F21EAC"/>
    <w:rsid w:val="00F3243D"/>
    <w:rsid w:val="00F37305"/>
    <w:rsid w:val="00F46D0D"/>
    <w:rsid w:val="00F54FDE"/>
    <w:rsid w:val="00F76636"/>
    <w:rsid w:val="00F810F9"/>
    <w:rsid w:val="00F92B59"/>
    <w:rsid w:val="00F948BC"/>
    <w:rsid w:val="00F960CF"/>
    <w:rsid w:val="00FA10A3"/>
    <w:rsid w:val="00FA1226"/>
    <w:rsid w:val="00FC34EE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0A1B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D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7679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PL/TXT/PDF/?uri=CELEX:32015L2366&amp;from=PL" TargetMode="External"/><Relationship Id="rId17" Type="http://schemas.openxmlformats.org/officeDocument/2006/relationships/hyperlink" Target="https://rf.gov.pl/jak-pomaga-rzecznik-finansowy/porad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produkcja/wp-content/uploads/Stanowisko-Prezesa-UOKiK-w-sprawie-transakcji-nieautoryzowanych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isap.sejm.gov.pl/isap.nsf/DocDetails.xsp?id=wdu20111991175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finanse.uokik.gov.pl/produkcja/wp-content/uploads/Stanowisko-Prezesa-UOKiK-w-sprawie-transakcji-nieautoryzowanych.pdf" TargetMode="External"/><Relationship Id="rId14" Type="http://schemas.openxmlformats.org/officeDocument/2006/relationships/hyperlink" Target="https://uokik.gov.pl/aktualnosci.php?news_id=1870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4FA5-CDEC-4FD8-A660-A4D49A3606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621A99-2190-4F61-9F2C-89CFEB2F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7</cp:revision>
  <cp:lastPrinted>2019-03-06T14:11:00Z</cp:lastPrinted>
  <dcterms:created xsi:type="dcterms:W3CDTF">2022-11-07T13:01:00Z</dcterms:created>
  <dcterms:modified xsi:type="dcterms:W3CDTF">2022-11-16T07:00:00Z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ccc34706-aa67-4093-a727-8cab43bb20bb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